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062"/>
      </w:tblGrid>
      <w:tr w:rsidR="00875F33" w:rsidRPr="00B717B2" w:rsidTr="00BA4CFF">
        <w:tc>
          <w:tcPr>
            <w:tcW w:w="3900" w:type="dxa"/>
            <w:hideMark/>
          </w:tcPr>
          <w:p w:rsidR="00875F33" w:rsidRDefault="00875F33" w:rsidP="00875F33">
            <w:pPr>
              <w:pStyle w:val="Vnbnnidung0"/>
              <w:tabs>
                <w:tab w:val="left" w:pos="3667"/>
              </w:tabs>
              <w:spacing w:line="240" w:lineRule="auto"/>
              <w:ind w:firstLine="0"/>
              <w:jc w:val="center"/>
              <w:rPr>
                <w:rFonts w:ascii="Arial" w:hAnsi="Arial" w:cs="Arial"/>
                <w:i w:val="0"/>
                <w:iCs w:val="0"/>
                <w:sz w:val="20"/>
                <w:szCs w:val="20"/>
              </w:rPr>
            </w:pPr>
            <w:r w:rsidRPr="00875F33">
              <w:rPr>
                <w:rFonts w:ascii="Arial" w:hAnsi="Arial" w:cs="Arial"/>
                <w:i w:val="0"/>
                <w:iCs w:val="0"/>
                <w:sz w:val="20"/>
                <w:szCs w:val="20"/>
              </w:rPr>
              <w:t>TỔNG CỤC THUẾ</w:t>
            </w:r>
          </w:p>
          <w:p w:rsidR="00875F33" w:rsidRDefault="00875F33" w:rsidP="00875F33">
            <w:pPr>
              <w:pStyle w:val="Vnbnnidung0"/>
              <w:tabs>
                <w:tab w:val="left" w:pos="3667"/>
              </w:tabs>
              <w:spacing w:line="240" w:lineRule="auto"/>
              <w:ind w:firstLine="0"/>
              <w:jc w:val="center"/>
              <w:rPr>
                <w:rFonts w:ascii="Arial" w:hAnsi="Arial" w:cs="Arial"/>
                <w:b/>
                <w:bCs/>
                <w:i w:val="0"/>
                <w:iCs w:val="0"/>
                <w:sz w:val="20"/>
                <w:szCs w:val="20"/>
              </w:rPr>
            </w:pPr>
            <w:r w:rsidRPr="00875F33">
              <w:rPr>
                <w:rFonts w:ascii="Arial" w:hAnsi="Arial" w:cs="Arial"/>
                <w:b/>
                <w:bCs/>
                <w:i w:val="0"/>
                <w:iCs w:val="0"/>
                <w:sz w:val="20"/>
                <w:szCs w:val="20"/>
              </w:rPr>
              <w:t>CỤC THUẾ TỈNH HÀ NAM</w:t>
            </w:r>
          </w:p>
          <w:p w:rsidR="00875F33" w:rsidRDefault="00875F33" w:rsidP="00875F33">
            <w:pPr>
              <w:pStyle w:val="Vnbnnidung0"/>
              <w:tabs>
                <w:tab w:val="left" w:pos="3667"/>
              </w:tabs>
              <w:spacing w:line="240" w:lineRule="auto"/>
              <w:ind w:firstLine="0"/>
              <w:jc w:val="center"/>
              <w:rPr>
                <w:rFonts w:ascii="Arial" w:hAnsi="Arial" w:cs="Arial"/>
                <w:i w:val="0"/>
                <w:iCs w:val="0"/>
                <w:sz w:val="20"/>
                <w:szCs w:val="20"/>
              </w:rPr>
            </w:pPr>
            <w:r w:rsidRPr="00875F33">
              <w:rPr>
                <w:rFonts w:ascii="Arial" w:hAnsi="Arial" w:cs="Arial"/>
                <w:i w:val="0"/>
                <w:iCs w:val="0"/>
                <w:sz w:val="20"/>
                <w:szCs w:val="20"/>
              </w:rPr>
              <w:t>Số: 3373 /CTHNA-TTHT</w:t>
            </w:r>
          </w:p>
          <w:p w:rsidR="00875F33" w:rsidRPr="00875F33" w:rsidRDefault="00875F33" w:rsidP="00875F33">
            <w:pPr>
              <w:pStyle w:val="Vnbnnidung0"/>
              <w:tabs>
                <w:tab w:val="left" w:pos="3667"/>
              </w:tabs>
              <w:spacing w:line="240" w:lineRule="auto"/>
              <w:ind w:firstLine="0"/>
              <w:jc w:val="center"/>
              <w:rPr>
                <w:rFonts w:ascii="Arial" w:hAnsi="Arial" w:cs="Arial"/>
                <w:sz w:val="20"/>
                <w:szCs w:val="20"/>
              </w:rPr>
            </w:pPr>
            <w:r w:rsidRPr="00875F33">
              <w:rPr>
                <w:rFonts w:ascii="Arial" w:hAnsi="Arial" w:cs="Arial"/>
                <w:i w:val="0"/>
                <w:iCs w:val="0"/>
                <w:sz w:val="20"/>
                <w:szCs w:val="20"/>
              </w:rPr>
              <w:t>V/v ưu đãi thuế TNDN</w:t>
            </w:r>
          </w:p>
        </w:tc>
        <w:tc>
          <w:tcPr>
            <w:tcW w:w="5062" w:type="dxa"/>
            <w:hideMark/>
          </w:tcPr>
          <w:p w:rsidR="00875F33" w:rsidRPr="007C6099" w:rsidRDefault="00875F33" w:rsidP="00BA4CFF">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CỘNG HOÀ XÃ HỘI CHỦ NGHĨA VIỆT NAM</w:t>
            </w:r>
          </w:p>
          <w:p w:rsidR="00875F33" w:rsidRPr="007C6099" w:rsidRDefault="00875F33" w:rsidP="00BA4CFF">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Độc lập - Tự do - Hạnh phúc</w:t>
            </w:r>
          </w:p>
          <w:p w:rsidR="00875F33" w:rsidRPr="007C6099" w:rsidRDefault="00875F33" w:rsidP="00875F33">
            <w:pPr>
              <w:pStyle w:val="Vnbnnidung0"/>
              <w:spacing w:after="820"/>
              <w:ind w:firstLine="0"/>
              <w:jc w:val="right"/>
              <w:rPr>
                <w:rFonts w:ascii="Arial" w:hAnsi="Arial" w:cs="Arial"/>
                <w:i w:val="0"/>
                <w:sz w:val="20"/>
                <w:szCs w:val="20"/>
              </w:rPr>
            </w:pPr>
            <w:r>
              <w:rPr>
                <w:rFonts w:ascii="Arial" w:hAnsi="Arial" w:cs="Arial"/>
                <w:sz w:val="20"/>
                <w:szCs w:val="20"/>
                <w:lang w:val="en-US"/>
              </w:rPr>
              <w:t>Hà Nam</w:t>
            </w:r>
            <w:r w:rsidRPr="008834FC">
              <w:rPr>
                <w:rFonts w:ascii="Arial" w:hAnsi="Arial" w:cs="Arial"/>
                <w:sz w:val="20"/>
                <w:szCs w:val="20"/>
              </w:rPr>
              <w:t xml:space="preserve">, ngày </w:t>
            </w:r>
            <w:r>
              <w:rPr>
                <w:rFonts w:ascii="Arial" w:hAnsi="Arial" w:cs="Arial"/>
                <w:sz w:val="20"/>
                <w:szCs w:val="20"/>
                <w:lang w:val="en-US"/>
              </w:rPr>
              <w:t>2</w:t>
            </w:r>
            <w:r>
              <w:rPr>
                <w:rFonts w:ascii="Arial" w:hAnsi="Arial" w:cs="Arial"/>
                <w:sz w:val="20"/>
                <w:szCs w:val="20"/>
                <w:lang w:val="en-US"/>
              </w:rPr>
              <w:t>6</w:t>
            </w:r>
            <w:r w:rsidRPr="008834FC">
              <w:rPr>
                <w:rFonts w:ascii="Arial" w:hAnsi="Arial" w:cs="Arial"/>
                <w:sz w:val="20"/>
                <w:szCs w:val="20"/>
              </w:rPr>
              <w:t xml:space="preserve"> tháng 12 năm 2024</w:t>
            </w:r>
          </w:p>
        </w:tc>
      </w:tr>
    </w:tbl>
    <w:p w:rsidR="00875F33" w:rsidRPr="00B717B2" w:rsidRDefault="00875F33" w:rsidP="00875F33">
      <w:pPr>
        <w:pStyle w:val="Vnbnnidung0"/>
        <w:ind w:firstLine="720"/>
        <w:jc w:val="both"/>
        <w:rPr>
          <w:rFonts w:ascii="Arial" w:hAnsi="Arial" w:cs="Arial"/>
          <w:i w:val="0"/>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875F33" w:rsidRPr="00B717B2" w:rsidTr="00BA4CFF">
        <w:trPr>
          <w:trHeight w:val="698"/>
        </w:trPr>
        <w:tc>
          <w:tcPr>
            <w:tcW w:w="3691" w:type="dxa"/>
            <w:hideMark/>
          </w:tcPr>
          <w:p w:rsidR="00875F33" w:rsidRPr="00B717B2" w:rsidRDefault="00875F33" w:rsidP="00BA4CFF">
            <w:pPr>
              <w:pStyle w:val="Vnbnnidung0"/>
              <w:ind w:right="440" w:firstLine="0"/>
              <w:jc w:val="right"/>
              <w:rPr>
                <w:rFonts w:ascii="Arial" w:hAnsi="Arial" w:cs="Arial"/>
                <w:i w:val="0"/>
                <w:sz w:val="20"/>
                <w:szCs w:val="20"/>
              </w:rPr>
            </w:pPr>
            <w:r w:rsidRPr="00B717B2">
              <w:rPr>
                <w:rFonts w:ascii="Arial" w:hAnsi="Arial" w:cs="Arial"/>
                <w:i w:val="0"/>
                <w:sz w:val="20"/>
                <w:szCs w:val="20"/>
              </w:rPr>
              <w:t>Kính gửi:</w:t>
            </w:r>
          </w:p>
        </w:tc>
        <w:tc>
          <w:tcPr>
            <w:tcW w:w="5715" w:type="dxa"/>
            <w:hideMark/>
          </w:tcPr>
          <w:p w:rsidR="00875F33" w:rsidRPr="00875F33" w:rsidRDefault="00875F33" w:rsidP="00875F33">
            <w:pPr>
              <w:pStyle w:val="Vnbnnidung0"/>
              <w:spacing w:line="240" w:lineRule="auto"/>
              <w:ind w:firstLine="0"/>
              <w:rPr>
                <w:rFonts w:ascii="Arial" w:hAnsi="Arial" w:cs="Arial"/>
                <w:sz w:val="20"/>
                <w:szCs w:val="20"/>
              </w:rPr>
            </w:pPr>
            <w:r w:rsidRPr="00875F33">
              <w:rPr>
                <w:rFonts w:ascii="Arial" w:hAnsi="Arial" w:cs="Arial"/>
                <w:i w:val="0"/>
                <w:iCs w:val="0"/>
                <w:sz w:val="20"/>
                <w:szCs w:val="20"/>
              </w:rPr>
              <w:t>Công ty TNHH Miki CareTech Việt Nam</w:t>
            </w:r>
          </w:p>
          <w:p w:rsidR="00875F33" w:rsidRPr="00875F33" w:rsidRDefault="00875F33" w:rsidP="00875F33">
            <w:pPr>
              <w:pStyle w:val="Vnbnnidung0"/>
              <w:spacing w:line="240" w:lineRule="auto"/>
              <w:ind w:firstLine="0"/>
              <w:rPr>
                <w:rFonts w:ascii="Arial" w:hAnsi="Arial" w:cs="Arial"/>
                <w:sz w:val="20"/>
                <w:szCs w:val="20"/>
              </w:rPr>
            </w:pPr>
            <w:r w:rsidRPr="00875F33">
              <w:rPr>
                <w:rFonts w:ascii="Arial" w:hAnsi="Arial" w:cs="Arial"/>
                <w:i w:val="0"/>
                <w:iCs w:val="0"/>
                <w:sz w:val="20"/>
                <w:szCs w:val="20"/>
              </w:rPr>
              <w:t>Mã số thuế: 0700825856</w:t>
            </w:r>
          </w:p>
          <w:p w:rsidR="00875F33" w:rsidRPr="008834FC" w:rsidRDefault="00875F33" w:rsidP="00875F33">
            <w:pPr>
              <w:pStyle w:val="Vnbnnidung0"/>
              <w:ind w:firstLine="0"/>
              <w:rPr>
                <w:rFonts w:ascii="Arial" w:hAnsi="Arial" w:cs="Arial"/>
                <w:sz w:val="20"/>
                <w:szCs w:val="20"/>
              </w:rPr>
            </w:pPr>
            <w:r w:rsidRPr="00875F33">
              <w:rPr>
                <w:rFonts w:ascii="Arial" w:hAnsi="Arial" w:cs="Arial"/>
                <w:i w:val="0"/>
                <w:iCs w:val="0"/>
                <w:sz w:val="20"/>
                <w:szCs w:val="20"/>
              </w:rPr>
              <w:t>Địa chỉ: Lô CNVN04-8 &amp; CNVN04-9, KCN hỗ trợ Đồng Văn III, phường Hoàng Đông, thị xã Duy Tiên, tỉnh Hà Nam.</w:t>
            </w:r>
          </w:p>
        </w:tc>
      </w:tr>
    </w:tbl>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 xml:space="preserve">Trả lời công văn số 01/2024-CV-CT ngày 12/12/2024 của Công ty TNHH Miki CareTech Việt Nam (sau đây gọi là Công ty) về việc áp dụng ưu đãi thuế TNDN, Cục Thuế </w:t>
      </w:r>
      <w:r w:rsidRPr="00875F33">
        <w:rPr>
          <w:rFonts w:ascii="Arial" w:hAnsi="Arial" w:cs="Arial"/>
          <w:i w:val="0"/>
          <w:iCs w:val="0"/>
          <w:sz w:val="20"/>
          <w:szCs w:val="20"/>
        </w:rPr>
        <w:t>tỉnh Hà Nam có ý kiến như sau:</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Căn cứ khoản 6 Điều 1 Nghị định số 91/2014/NĐ-CP ngày 01/10/2014 của Chính phủ sửa đổi, bổ sung một số điều tại các Nghị định quy định về thuế, quy định:</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“6. Sửa đổi, bổ sung Khoản 3 Điều 16 như sau:</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“3. Miễn thuế 2 năm và gi</w:t>
      </w:r>
      <w:r w:rsidRPr="00875F33">
        <w:rPr>
          <w:rFonts w:ascii="Arial" w:hAnsi="Arial" w:cs="Arial"/>
          <w:sz w:val="20"/>
          <w:szCs w:val="20"/>
        </w:rPr>
        <w:t xml:space="preserve">ảm 50% số thuế phải nộp trong 4 năm tiếp theo đối với thu nhập từ thực hiện dự án đầu tư mới quy định tại Khoản 3 Điều 15 Nghị định này và thu nhập của doanh nghiệp từ thực hiện dự án đầu tư mới tại khu công nghiệp (trừ khu công nghiệp nằm trên địa bàn có </w:t>
      </w:r>
      <w:r w:rsidRPr="00875F33">
        <w:rPr>
          <w:rFonts w:ascii="Arial" w:hAnsi="Arial" w:cs="Arial"/>
          <w:sz w:val="20"/>
          <w:szCs w:val="20"/>
        </w:rPr>
        <w:t>điều kiện - kinh tế xã hội thuận lợi).</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Địa bàn có điều kiện - kinh tế xã hội thuận lợi quy định tại Khoản này là các quận nội thành của đô thị loại đặc biệt, đô thị loại I trực thuộc trung ương và các đô thị loại I trực thuộc tỉnh, không bao gồm các quận c</w:t>
      </w:r>
      <w:r w:rsidRPr="00875F33">
        <w:rPr>
          <w:rFonts w:ascii="Arial" w:hAnsi="Arial" w:cs="Arial"/>
          <w:sz w:val="20"/>
          <w:szCs w:val="20"/>
        </w:rPr>
        <w:t xml:space="preserve">ủa đô thị loại đặc biệt, đô thị loại I trực thuộc trung ương và các đô thị loại I trực thuộc tỉnh mới được thành lập từ huyện kể từ ngày 01 tháng 01 năm 2009; trường hợp khu công nghiệp nằm trên cả địa bàn thuận lợi và địa bàn không thuận lợi thì việc xác </w:t>
      </w:r>
      <w:r w:rsidRPr="00875F33">
        <w:rPr>
          <w:rFonts w:ascii="Arial" w:hAnsi="Arial" w:cs="Arial"/>
          <w:sz w:val="20"/>
          <w:szCs w:val="20"/>
        </w:rPr>
        <w:t>định ưu đãi thuế đối với khu công nghiệp căn cứ vào vị trí thực tế của dự án đầu tư trên thực địa. Việc xác định đô thị loại đặc biệt, loại I quy định tại Khoản này thực hiện theo quy định của Chính phủ quy định về phân loại đô thị.”.”</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 xml:space="preserve">Căn cứ Thông tư số </w:t>
      </w:r>
      <w:r w:rsidRPr="00875F33">
        <w:rPr>
          <w:rFonts w:ascii="Arial" w:hAnsi="Arial" w:cs="Arial"/>
          <w:i w:val="0"/>
          <w:iCs w:val="0"/>
          <w:sz w:val="20"/>
          <w:szCs w:val="20"/>
        </w:rPr>
        <w:t>78/2014/TT-BTC ngày 18/6/2014 của Bộ Tài chính hướng dẫn thi hành Nghị định số 218/2013/NĐ-CP ngày 26/12/2013 của Chính phủ quy định và hướng dẫn thi hành Luật thuế thu nhập doanh nghiệp:</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 xml:space="preserve">+ Tại khoản 1, khoản 2 Điều 18 quy định về điều kiện áp dụng ưu đãi </w:t>
      </w:r>
      <w:r w:rsidRPr="00875F33">
        <w:rPr>
          <w:rFonts w:ascii="Arial" w:hAnsi="Arial" w:cs="Arial"/>
          <w:i w:val="0"/>
          <w:iCs w:val="0"/>
          <w:sz w:val="20"/>
          <w:szCs w:val="20"/>
        </w:rPr>
        <w:t>thuế thu nhập doanh nghiệp:</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“1. Các ưu đãi về thuế thu nhập doanh nghiệp chỉ áp dụng đối với doanh nghiệp thực hiện chế độ kế toán, hóa đơn, chứng từ và nộp thuế thu nhập doanh nghiệp theo kê khai.</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2. Trong thời gian đang được hưởng ưu đãi thuế thu nhập do</w:t>
      </w:r>
      <w:r w:rsidRPr="00875F33">
        <w:rPr>
          <w:rFonts w:ascii="Arial" w:hAnsi="Arial" w:cs="Arial"/>
          <w:sz w:val="20"/>
          <w:szCs w:val="20"/>
        </w:rPr>
        <w:t xml:space="preserve">anh nghiệp nếu doanh nghiệp thực hiện nhiều hoạt động sản xuất, kinh doanh thì doanh nghiệp phải tính riêng thu nhập từ hoạt động sản xuất, kinh doanh được hưởng ưu đãi thuế thu nhập doanh nghiệp (bao gồm mức thuế suất ưu đãi, mức miễn thuế, giảm thuế) và </w:t>
      </w:r>
      <w:r w:rsidRPr="00875F33">
        <w:rPr>
          <w:rFonts w:ascii="Arial" w:hAnsi="Arial" w:cs="Arial"/>
          <w:sz w:val="20"/>
          <w:szCs w:val="20"/>
        </w:rPr>
        <w:t>thu nhập từ hoạt động kinh doanh không được hưởng ưu đãi thuế để kê khai nộp thuế riêng. ...”</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 Tại Điều 22 quy định về thủ tục thực hiện ưu đãi thuế TNDN:</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“Doanh nghiệp tự xác định các điều kiện ưu đãi thuế, mức thuế suất ưu đãi, thời gian miễn thuế, giảm</w:t>
      </w:r>
      <w:r w:rsidRPr="00875F33">
        <w:rPr>
          <w:rFonts w:ascii="Arial" w:hAnsi="Arial" w:cs="Arial"/>
          <w:sz w:val="20"/>
          <w:szCs w:val="20"/>
        </w:rPr>
        <w:t xml:space="preserve"> thuế, số lỗ được trừ (-) vào thu nhập tính thuế để tự kê khai và tự quyết toán thuế với cơ quan thuế....”</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Căn cứ Thông tư số 96/2015/TT-BTC sửa đổi, bổ sung khoản 5 Điều 18 Thông tư số 78/2014/TT-BTC (đã được sửa đổi, bổ sung tại Điều 5 Thông tư số 151/20</w:t>
      </w:r>
      <w:r w:rsidRPr="00875F33">
        <w:rPr>
          <w:rFonts w:ascii="Arial" w:hAnsi="Arial" w:cs="Arial"/>
          <w:i w:val="0"/>
          <w:iCs w:val="0"/>
          <w:sz w:val="20"/>
          <w:szCs w:val="20"/>
        </w:rPr>
        <w:t>14/TT-BTC) hướng dẫn về thuế thu nhập doanh nghiệp tại Nghị định số 12/2015/NĐ-CP ngày 12/2/2015 của Chính phủ quy định chi tiết thi hành luật sửa đổi, bổ sung một số điều của các luật về thuế và sửa đổi bổ sung một số điều của các nghị định về thuế và sửa</w:t>
      </w:r>
      <w:r w:rsidRPr="00875F33">
        <w:rPr>
          <w:rFonts w:ascii="Arial" w:hAnsi="Arial" w:cs="Arial"/>
          <w:i w:val="0"/>
          <w:iCs w:val="0"/>
          <w:sz w:val="20"/>
          <w:szCs w:val="20"/>
        </w:rPr>
        <w:t xml:space="preserve"> đổi, bổ sung một số điều của Thông tư số 78/2014/TT-BTC ngày 18/6/2014, Thông tư số </w:t>
      </w:r>
      <w:r w:rsidRPr="00875F33">
        <w:rPr>
          <w:rFonts w:ascii="Arial" w:hAnsi="Arial" w:cs="Arial"/>
          <w:i w:val="0"/>
          <w:iCs w:val="0"/>
          <w:smallCaps/>
          <w:sz w:val="20"/>
          <w:szCs w:val="20"/>
        </w:rPr>
        <w:t>119/2014/TT-BtC</w:t>
      </w:r>
      <w:r w:rsidRPr="00875F33">
        <w:rPr>
          <w:rFonts w:ascii="Arial" w:hAnsi="Arial" w:cs="Arial"/>
          <w:i w:val="0"/>
          <w:iCs w:val="0"/>
          <w:sz w:val="20"/>
          <w:szCs w:val="20"/>
        </w:rPr>
        <w:t xml:space="preserve"> ngày 25/8/2014, Thông tư số 151/2014/TT-BTC ngày 10/10/2014 của Bộ Tài chính:</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 Tại khoản 3 Điều 10 quy định:</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“3. Sửa đổi, bổ sung Khoản 5 Điều 18 Thông tư</w:t>
      </w:r>
      <w:r w:rsidRPr="00875F33">
        <w:rPr>
          <w:rFonts w:ascii="Arial" w:hAnsi="Arial" w:cs="Arial"/>
          <w:sz w:val="20"/>
          <w:szCs w:val="20"/>
        </w:rPr>
        <w:t xml:space="preserve"> số 78/2014/TT-BTC (đã được sửa đổi, bổ sung tại Điều 5 Thông tư số 151/2014/TT-BTC) như sau:</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“5. Về dự án đầu tư mới:</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 c) Đối với doanh nghiệp đang được hưởng ưu đãi thuế thu nhập doanh nghiệp theo diện doanh nghiệp mới thành lập từ dự án đầu tư chỉ áp</w:t>
      </w:r>
      <w:r w:rsidRPr="00875F33">
        <w:rPr>
          <w:rFonts w:ascii="Arial" w:hAnsi="Arial" w:cs="Arial"/>
          <w:sz w:val="20"/>
          <w:szCs w:val="20"/>
        </w:rPr>
        <w:t xml:space="preserve"> dụng đối với thu nhập từ hoạt động sản xuất kinh doanh đáp ứng điều kiện ưu đãi đầu tư </w:t>
      </w:r>
      <w:r w:rsidRPr="00875F33">
        <w:rPr>
          <w:rFonts w:ascii="Arial" w:hAnsi="Arial" w:cs="Arial"/>
          <w:sz w:val="20"/>
          <w:szCs w:val="20"/>
          <w:u w:val="single"/>
        </w:rPr>
        <w:t xml:space="preserve">ghi trong giấy chứng nhận đăng ký doanh nghiệp hoặc giấy chứng nhận đầu </w:t>
      </w:r>
      <w:r w:rsidRPr="00875F33">
        <w:rPr>
          <w:rFonts w:ascii="Arial" w:hAnsi="Arial" w:cs="Arial"/>
          <w:sz w:val="20"/>
          <w:szCs w:val="20"/>
          <w:u w:val="single"/>
        </w:rPr>
        <w:lastRenderedPageBreak/>
        <w:t>tư lần đầu của doanh nghiệp</w:t>
      </w:r>
      <w:r w:rsidRPr="00875F33">
        <w:rPr>
          <w:rFonts w:ascii="Arial" w:hAnsi="Arial" w:cs="Arial"/>
          <w:sz w:val="20"/>
          <w:szCs w:val="20"/>
        </w:rPr>
        <w:t>. Đối với doanh nghiệp đang hoạt động sản xuất kinh doanh nếu có sự t</w:t>
      </w:r>
      <w:r w:rsidRPr="00875F33">
        <w:rPr>
          <w:rFonts w:ascii="Arial" w:hAnsi="Arial" w:cs="Arial"/>
          <w:sz w:val="20"/>
          <w:szCs w:val="20"/>
        </w:rPr>
        <w:t>hay đổi giấy chứng nhận đăng ký doanh nghiệp hoặc giấy chứng nhận đầu tư nhưng sự thay đổi đó không làm thay đổi việc đáp ứng các điều kiện ưu đãi thuế của dự án đó theo quy định thì doanh nghiệp tiếp tục được hưởng ưu đãi thuế cho thời gian còn lại hoặc ư</w:t>
      </w:r>
      <w:r w:rsidRPr="00875F33">
        <w:rPr>
          <w:rFonts w:ascii="Arial" w:hAnsi="Arial" w:cs="Arial"/>
          <w:sz w:val="20"/>
          <w:szCs w:val="20"/>
        </w:rPr>
        <w:t>u đãi theo diện đầu tư mở rộng nếu đáp ứng điều kiện ưu đãi theo quy định.””</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 Tại khoản 4 Điều 10 quy định:</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“Điều 10. Sửa đổi, bổ sung một số nội dung tại Điều 18 Thông tư số 78/2014/TT-BTC (đã được sửa đổi, bổ sung tại Điều 5 Thông tư số 151/2014/TT- BTC</w:t>
      </w:r>
      <w:r w:rsidRPr="00875F33">
        <w:rPr>
          <w:rFonts w:ascii="Arial" w:hAnsi="Arial" w:cs="Arial"/>
          <w:sz w:val="20"/>
          <w:szCs w:val="20"/>
        </w:rPr>
        <w:t>) như sau:</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...4. Sửa đổi, bổ sung Điểm a Khoản 6 Điều 18 Thông tư số 78/2014/TT-BTC (đã được sửa đổi, bổ sung tại Điều 5 Thông tư số 151/2014/TT-BTC) như sau:</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“6. Về đầu tư mở rộng</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 xml:space="preserve">a) Doanh nghiệp có dự án đầu tư phát triển dự án đầu tư đang hoạt động như </w:t>
      </w:r>
      <w:r w:rsidRPr="00875F33">
        <w:rPr>
          <w:rFonts w:ascii="Arial" w:hAnsi="Arial" w:cs="Arial"/>
          <w:sz w:val="20"/>
          <w:szCs w:val="20"/>
        </w:rPr>
        <w:t>mở rộng quy mô sản xuất, nâng cao công suất, đổi mới công nghệ sản xuất (gọi chung là dự án đầu tư mở rộng) thuộc lĩnh vực hoặc địa bàn ưu đãi thuế thu nhập doanh nghiệp theo quy định của Nghị định số 218/2013/NĐ-CP (bao gồm cả khu kinh tế, khu công nghệ c</w:t>
      </w:r>
      <w:r w:rsidRPr="00875F33">
        <w:rPr>
          <w:rFonts w:ascii="Arial" w:hAnsi="Arial" w:cs="Arial"/>
          <w:sz w:val="20"/>
          <w:szCs w:val="20"/>
        </w:rPr>
        <w:t xml:space="preserve">ao, khu công nghiệp trừ khu công nghiệp nằm trên địa bàn các quận nội thành của đô thị loại đặc biệt, đô thị loại I trực thuộc trung ương và Khu công nghiệp nằm trên địa bàn các đô thị loại I trực thuộc tỉnh) nếu đáp ứng một trong ba tiêu chí quy định tại </w:t>
      </w:r>
      <w:r w:rsidRPr="00875F33">
        <w:rPr>
          <w:rFonts w:ascii="Arial" w:hAnsi="Arial" w:cs="Arial"/>
          <w:sz w:val="20"/>
          <w:szCs w:val="20"/>
        </w:rPr>
        <w:t>điểm này thì được lựa chọn hưởng ưu đãi thuế thu nhập doanh nghiệp theo dự án đang hoạt động cho thời gian còn lại (bao gồm mức thuế suất, thời gian miễn giảm nếu có) hoặc được áp dụng thời gian miễn thuế, giảm thuế đối với phần thu nhập tăng thêm do đầu t</w:t>
      </w:r>
      <w:r w:rsidRPr="00875F33">
        <w:rPr>
          <w:rFonts w:ascii="Arial" w:hAnsi="Arial" w:cs="Arial"/>
          <w:sz w:val="20"/>
          <w:szCs w:val="20"/>
        </w:rPr>
        <w:t>ư mở rộng mang lại (không được hưởng mức thuế suất ưu đãi) bằng với thời gian miễn thuế, giảm thuế áp dụng đối với dự án đầu tư mới trên cùng địa bàn hoặc lĩnh vực ưu đãi thuế thu nhập doanh nghiệp. Trường hợp doanh nghiệp chọn hưởng ưu đãi thuế thu nhập d</w:t>
      </w:r>
      <w:r w:rsidRPr="00875F33">
        <w:rPr>
          <w:rFonts w:ascii="Arial" w:hAnsi="Arial" w:cs="Arial"/>
          <w:sz w:val="20"/>
          <w:szCs w:val="20"/>
        </w:rPr>
        <w:t>oanh nghiệp theo dự án đang hoạt động cho thời gian còn lại thì dự án đầu tư mở rộng đó phải thuộc lĩnh vực hoặc địa bàn ưu đãi thuế thu nhập doanh nghiệp theo quy định của Nghị định số 218/2013/NĐ-CP đồng thời cũng thuộc lĩnh vực hoặc địa bàn với dự án đa</w:t>
      </w:r>
      <w:r w:rsidRPr="00875F33">
        <w:rPr>
          <w:rFonts w:ascii="Arial" w:hAnsi="Arial" w:cs="Arial"/>
          <w:sz w:val="20"/>
          <w:szCs w:val="20"/>
        </w:rPr>
        <w:t>ng hoạt động.</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sz w:val="20"/>
          <w:szCs w:val="20"/>
        </w:rPr>
        <w:t>Dự án đầu tư mở rộng quy định tại điểm này phải đáp ứng một trong các tiêu chí sau:</w:t>
      </w:r>
    </w:p>
    <w:p w:rsidR="006B79AC" w:rsidRPr="00875F33" w:rsidRDefault="00875F33" w:rsidP="00875F33">
      <w:pPr>
        <w:pStyle w:val="Vnbnnidung0"/>
        <w:tabs>
          <w:tab w:val="left" w:pos="793"/>
        </w:tabs>
        <w:spacing w:after="120" w:line="240" w:lineRule="auto"/>
        <w:ind w:firstLine="284"/>
        <w:rPr>
          <w:rFonts w:ascii="Arial" w:hAnsi="Arial" w:cs="Arial"/>
          <w:sz w:val="20"/>
          <w:szCs w:val="20"/>
        </w:rPr>
      </w:pPr>
      <w:bookmarkStart w:id="0" w:name="bookmark0"/>
      <w:bookmarkEnd w:id="0"/>
      <w:r>
        <w:rPr>
          <w:rFonts w:ascii="Arial" w:hAnsi="Arial" w:cs="Arial"/>
          <w:sz w:val="20"/>
          <w:szCs w:val="20"/>
          <w:lang w:val="en-US"/>
        </w:rPr>
        <w:t xml:space="preserve">- </w:t>
      </w:r>
      <w:r w:rsidR="00195F6F" w:rsidRPr="00875F33">
        <w:rPr>
          <w:rFonts w:ascii="Arial" w:hAnsi="Arial" w:cs="Arial"/>
          <w:sz w:val="20"/>
          <w:szCs w:val="20"/>
        </w:rPr>
        <w:t>Nguyên giá tài sản cố định tăng thêm khi dự án đầu tư hoàn thành đi vào hoạt động đạt tối thiểu từ 20 tỷ đồng đối với dự án đầu tư mở rộng thuộc lĩnh vực hưởn</w:t>
      </w:r>
      <w:r w:rsidR="00195F6F" w:rsidRPr="00875F33">
        <w:rPr>
          <w:rFonts w:ascii="Arial" w:hAnsi="Arial" w:cs="Arial"/>
          <w:sz w:val="20"/>
          <w:szCs w:val="20"/>
        </w:rPr>
        <w:t>g ưu đãi thuế thu nhập doanh nghiệp theo quy định của Nghị định số 218/2013/NĐ-CP hoặc từ 10 tỷ đồng đối với các dự án đầu tư mở rộng thực hiện tại các địa bàn có điều kiện kinh tế - xã hội khó khăn hoặc đặc biệt khó khăn theo quy định của Nghị định số 218</w:t>
      </w:r>
      <w:r w:rsidR="00195F6F" w:rsidRPr="00875F33">
        <w:rPr>
          <w:rFonts w:ascii="Arial" w:hAnsi="Arial" w:cs="Arial"/>
          <w:sz w:val="20"/>
          <w:szCs w:val="20"/>
        </w:rPr>
        <w:t>/2013/NĐ-CP.</w:t>
      </w:r>
    </w:p>
    <w:p w:rsidR="006B79AC" w:rsidRPr="00875F33" w:rsidRDefault="00875F33" w:rsidP="00875F33">
      <w:pPr>
        <w:pStyle w:val="Vnbnnidung0"/>
        <w:tabs>
          <w:tab w:val="left" w:pos="790"/>
        </w:tabs>
        <w:spacing w:after="120" w:line="240" w:lineRule="auto"/>
        <w:ind w:firstLine="284"/>
        <w:rPr>
          <w:rFonts w:ascii="Arial" w:hAnsi="Arial" w:cs="Arial"/>
          <w:sz w:val="20"/>
          <w:szCs w:val="20"/>
        </w:rPr>
      </w:pPr>
      <w:bookmarkStart w:id="1" w:name="bookmark1"/>
      <w:bookmarkEnd w:id="1"/>
      <w:r>
        <w:rPr>
          <w:rFonts w:ascii="Arial" w:hAnsi="Arial" w:cs="Arial"/>
          <w:sz w:val="20"/>
          <w:szCs w:val="20"/>
          <w:lang w:val="en-US"/>
        </w:rPr>
        <w:t xml:space="preserve">- </w:t>
      </w:r>
      <w:r w:rsidR="00195F6F" w:rsidRPr="00875F33">
        <w:rPr>
          <w:rFonts w:ascii="Arial" w:hAnsi="Arial" w:cs="Arial"/>
          <w:sz w:val="20"/>
          <w:szCs w:val="20"/>
        </w:rPr>
        <w:t>Tỷ trọng nguyên giá tài sản cố định tăng thêm đạt tối thiểu từ 20% so với tổng nguyên giá tài sản cố định trước khi đầu tư.</w:t>
      </w:r>
    </w:p>
    <w:p w:rsidR="006B79AC" w:rsidRDefault="00875F33" w:rsidP="00875F33">
      <w:pPr>
        <w:pStyle w:val="Vnbnnidung0"/>
        <w:tabs>
          <w:tab w:val="left" w:pos="790"/>
        </w:tabs>
        <w:spacing w:after="120" w:line="240" w:lineRule="auto"/>
        <w:ind w:firstLine="284"/>
        <w:rPr>
          <w:rFonts w:ascii="Arial" w:hAnsi="Arial" w:cs="Arial"/>
          <w:sz w:val="20"/>
          <w:szCs w:val="20"/>
        </w:rPr>
      </w:pPr>
      <w:bookmarkStart w:id="2" w:name="bookmark2"/>
      <w:bookmarkEnd w:id="2"/>
      <w:r>
        <w:rPr>
          <w:rFonts w:ascii="Arial" w:hAnsi="Arial" w:cs="Arial"/>
          <w:sz w:val="20"/>
          <w:szCs w:val="20"/>
          <w:lang w:val="en-US"/>
        </w:rPr>
        <w:t xml:space="preserve">- </w:t>
      </w:r>
      <w:r w:rsidR="00195F6F" w:rsidRPr="00875F33">
        <w:rPr>
          <w:rFonts w:ascii="Arial" w:hAnsi="Arial" w:cs="Arial"/>
          <w:sz w:val="20"/>
          <w:szCs w:val="20"/>
        </w:rPr>
        <w:t>Công suất thiết kế khi đầu tư mở rộng tăng thêm tối thiểu từ 20% so với công suất thiết kế theo luận chứng kinh tế kĩ t</w:t>
      </w:r>
      <w:r w:rsidR="00195F6F" w:rsidRPr="00875F33">
        <w:rPr>
          <w:rFonts w:ascii="Arial" w:hAnsi="Arial" w:cs="Arial"/>
          <w:sz w:val="20"/>
          <w:szCs w:val="20"/>
        </w:rPr>
        <w:t>huật trước khi đầu tư ban đầu.</w:t>
      </w:r>
    </w:p>
    <w:p w:rsidR="00875F33" w:rsidRPr="00875F33" w:rsidRDefault="00875F33" w:rsidP="00875F33">
      <w:pPr>
        <w:pStyle w:val="Vnbnnidung0"/>
        <w:tabs>
          <w:tab w:val="left" w:pos="790"/>
        </w:tabs>
        <w:spacing w:after="120" w:line="240" w:lineRule="auto"/>
        <w:ind w:firstLine="284"/>
        <w:rPr>
          <w:rFonts w:ascii="Arial" w:hAnsi="Arial" w:cs="Arial"/>
          <w:sz w:val="20"/>
          <w:szCs w:val="20"/>
        </w:rPr>
      </w:pPr>
      <w:r>
        <w:rPr>
          <w:rFonts w:ascii="Arial" w:hAnsi="Arial" w:cs="Arial"/>
          <w:sz w:val="20"/>
          <w:szCs w:val="20"/>
          <w:lang w:val="en-US"/>
        </w:rPr>
        <w:t>…”</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Căn cứ các quy định trên và tài liệu Công ty cung cấp, Công ty được thành lập để thực hiện dự án đầu tư “Miki Caretech Việt Nam”, mã số dự án 6500760215, địa điểm thực hiện dự án tại KCN hỗ trợ Đồng Văn III, phường Hoàng Đông</w:t>
      </w:r>
      <w:r w:rsidRPr="00875F33">
        <w:rPr>
          <w:rFonts w:ascii="Arial" w:hAnsi="Arial" w:cs="Arial"/>
          <w:i w:val="0"/>
          <w:iCs w:val="0"/>
          <w:sz w:val="20"/>
          <w:szCs w:val="20"/>
        </w:rPr>
        <w:t>, thị xã Duy Tiên, tỉnh Hà Nam (KCN không nằm trên địa bàn có điều kiện - kinh tế xã hội thuận lợi) thì:</w:t>
      </w:r>
    </w:p>
    <w:p w:rsidR="006B79AC" w:rsidRPr="00875F33" w:rsidRDefault="00875F33" w:rsidP="00875F33">
      <w:pPr>
        <w:pStyle w:val="Vnbnnidung0"/>
        <w:tabs>
          <w:tab w:val="left" w:pos="898"/>
        </w:tabs>
        <w:spacing w:after="120" w:line="240" w:lineRule="auto"/>
        <w:ind w:firstLine="284"/>
        <w:rPr>
          <w:rFonts w:ascii="Arial" w:hAnsi="Arial" w:cs="Arial"/>
          <w:sz w:val="20"/>
          <w:szCs w:val="20"/>
        </w:rPr>
      </w:pPr>
      <w:bookmarkStart w:id="3" w:name="bookmark3"/>
      <w:bookmarkEnd w:id="3"/>
      <w:r>
        <w:rPr>
          <w:rFonts w:ascii="Arial" w:hAnsi="Arial" w:cs="Arial"/>
          <w:i w:val="0"/>
          <w:iCs w:val="0"/>
          <w:sz w:val="20"/>
          <w:szCs w:val="20"/>
          <w:lang w:val="en-US"/>
        </w:rPr>
        <w:t xml:space="preserve">1. </w:t>
      </w:r>
      <w:r w:rsidR="00195F6F" w:rsidRPr="00875F33">
        <w:rPr>
          <w:rFonts w:ascii="Arial" w:hAnsi="Arial" w:cs="Arial"/>
          <w:i w:val="0"/>
          <w:iCs w:val="0"/>
          <w:sz w:val="20"/>
          <w:szCs w:val="20"/>
        </w:rPr>
        <w:t xml:space="preserve">Trường hợp Công ty thực hiện dự án theo đúng nội dung đăng ký tại Giấy chứng nhận đăng ký đầu tư do Ban quản lý các KCN tỉnh Hà Nam cấp lần đầu ngày </w:t>
      </w:r>
      <w:r w:rsidR="00195F6F" w:rsidRPr="00875F33">
        <w:rPr>
          <w:rFonts w:ascii="Arial" w:hAnsi="Arial" w:cs="Arial"/>
          <w:i w:val="0"/>
          <w:iCs w:val="0"/>
          <w:sz w:val="20"/>
          <w:szCs w:val="20"/>
        </w:rPr>
        <w:t xml:space="preserve">08/04/2019, đồng thời đáp ứng các điều kiện của pháp luật thuế, pháp luật có liên quan và dự án đầu tư này là dự án đầu tư mới theo quy định thì thu nhập của Công ty từ thực hiện dự án này được miễn thuế 2 năm và giảm 50% số thuế phải nộp trong 4 năm tiếp </w:t>
      </w:r>
      <w:r w:rsidR="00195F6F" w:rsidRPr="00875F33">
        <w:rPr>
          <w:rFonts w:ascii="Arial" w:hAnsi="Arial" w:cs="Arial"/>
          <w:i w:val="0"/>
          <w:iCs w:val="0"/>
          <w:sz w:val="20"/>
          <w:szCs w:val="20"/>
        </w:rPr>
        <w:t>theo đối với thu nhập từ thực hiện dự án đầu tư mới tùy theo điều kiện thực tế đáp ứng. Trường hợp Công ty có gia hạn thời gian hoạt động của dự án thì Công ty không được ưu đãi thuế TNDN theo dự án đầu tư mới đối với thời gian hoạt động được gia hạn.</w:t>
      </w:r>
    </w:p>
    <w:p w:rsidR="006B79AC" w:rsidRPr="00875F33" w:rsidRDefault="00875F33" w:rsidP="00875F33">
      <w:pPr>
        <w:pStyle w:val="Vnbnnidung0"/>
        <w:tabs>
          <w:tab w:val="left" w:pos="889"/>
        </w:tabs>
        <w:spacing w:after="120" w:line="240" w:lineRule="auto"/>
        <w:ind w:firstLine="284"/>
        <w:rPr>
          <w:rFonts w:ascii="Arial" w:hAnsi="Arial" w:cs="Arial"/>
          <w:sz w:val="20"/>
          <w:szCs w:val="20"/>
        </w:rPr>
      </w:pPr>
      <w:bookmarkStart w:id="4" w:name="bookmark4"/>
      <w:bookmarkEnd w:id="4"/>
      <w:r>
        <w:rPr>
          <w:rFonts w:ascii="Arial" w:hAnsi="Arial" w:cs="Arial"/>
          <w:i w:val="0"/>
          <w:iCs w:val="0"/>
          <w:sz w:val="20"/>
          <w:szCs w:val="20"/>
          <w:lang w:val="en-US"/>
        </w:rPr>
        <w:t xml:space="preserve">2. </w:t>
      </w:r>
      <w:r w:rsidR="00195F6F" w:rsidRPr="00875F33">
        <w:rPr>
          <w:rFonts w:ascii="Arial" w:hAnsi="Arial" w:cs="Arial"/>
          <w:i w:val="0"/>
          <w:iCs w:val="0"/>
          <w:sz w:val="20"/>
          <w:szCs w:val="20"/>
        </w:rPr>
        <w:t>Trườ</w:t>
      </w:r>
      <w:r w:rsidR="00195F6F" w:rsidRPr="00875F33">
        <w:rPr>
          <w:rFonts w:ascii="Arial" w:hAnsi="Arial" w:cs="Arial"/>
          <w:i w:val="0"/>
          <w:iCs w:val="0"/>
          <w:sz w:val="20"/>
          <w:szCs w:val="20"/>
        </w:rPr>
        <w:t>ng hợp Công ty có dự án đầu tư phát triển dự án đầu tư đang hoạt động như mở rộng quy mô sản xuất, nâng cao công suất, đổi mới công nghệ sản</w:t>
      </w:r>
      <w:r>
        <w:rPr>
          <w:rFonts w:ascii="Arial" w:hAnsi="Arial" w:cs="Arial"/>
          <w:i w:val="0"/>
          <w:iCs w:val="0"/>
          <w:sz w:val="20"/>
          <w:szCs w:val="20"/>
          <w:lang w:val="en-US"/>
        </w:rPr>
        <w:t xml:space="preserve"> </w:t>
      </w:r>
      <w:r w:rsidR="00195F6F" w:rsidRPr="00875F33">
        <w:rPr>
          <w:rFonts w:ascii="Arial" w:hAnsi="Arial" w:cs="Arial"/>
          <w:i w:val="0"/>
          <w:iCs w:val="0"/>
          <w:sz w:val="20"/>
          <w:szCs w:val="20"/>
        </w:rPr>
        <w:t>xuất (gọi chung là dự án đầu tư mở rộng) thuộc lĩnh vực hoặc địa bàn ưu đãi thuế thu nhập doanh nghiệp theo quy địn</w:t>
      </w:r>
      <w:r w:rsidR="00195F6F" w:rsidRPr="00875F33">
        <w:rPr>
          <w:rFonts w:ascii="Arial" w:hAnsi="Arial" w:cs="Arial"/>
          <w:i w:val="0"/>
          <w:iCs w:val="0"/>
          <w:sz w:val="20"/>
          <w:szCs w:val="20"/>
        </w:rPr>
        <w:t>h của Nghị định số 218/2013/NĐ-CP nhưng không đáp ứng tiêu chí quy định tại điểm a khoản 6 Điều 18 Thông tư số 78/2014/TT-BTC (được sửa đổi, bổ sung tại khoản 4 Điều 10 Thông tư số 96/2015/TT-BTC) thì không được hưởng ưu đãi thuế thu nhập doanh nghiệp theo</w:t>
      </w:r>
      <w:r w:rsidR="00195F6F" w:rsidRPr="00875F33">
        <w:rPr>
          <w:rFonts w:ascii="Arial" w:hAnsi="Arial" w:cs="Arial"/>
          <w:i w:val="0"/>
          <w:iCs w:val="0"/>
          <w:sz w:val="20"/>
          <w:szCs w:val="20"/>
        </w:rPr>
        <w:t xml:space="preserve"> dự án đầu tư mở rộng.</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Các ưu đãi về thuế thu nhập doanh nghiệp chỉ áp dụng đối với doanh nghiệp thực hiện chế độ kế toán, hóa đơn, chứng từ và nộp thuế thu nhập doanh nghiệp theo kê khai. Cô</w:t>
      </w:r>
      <w:bookmarkStart w:id="5" w:name="_GoBack"/>
      <w:bookmarkEnd w:id="5"/>
      <w:r w:rsidRPr="00875F33">
        <w:rPr>
          <w:rFonts w:ascii="Arial" w:hAnsi="Arial" w:cs="Arial"/>
          <w:i w:val="0"/>
          <w:iCs w:val="0"/>
          <w:sz w:val="20"/>
          <w:szCs w:val="20"/>
        </w:rPr>
        <w:t xml:space="preserve">ng ty chỉ được hưởng ưu </w:t>
      </w:r>
      <w:r w:rsidRPr="00875F33">
        <w:rPr>
          <w:rFonts w:ascii="Arial" w:hAnsi="Arial" w:cs="Arial"/>
          <w:i w:val="0"/>
          <w:iCs w:val="0"/>
          <w:sz w:val="20"/>
          <w:szCs w:val="20"/>
        </w:rPr>
        <w:lastRenderedPageBreak/>
        <w:t>đãi thuế nếu đáp ứng các điều kiện theo q</w:t>
      </w:r>
      <w:r w:rsidRPr="00875F33">
        <w:rPr>
          <w:rFonts w:ascii="Arial" w:hAnsi="Arial" w:cs="Arial"/>
          <w:i w:val="0"/>
          <w:iCs w:val="0"/>
          <w:sz w:val="20"/>
          <w:szCs w:val="20"/>
        </w:rPr>
        <w:t>uy định. Đề nghị Công ty căn cứ tình hình thực tế và các điều kiện ưu đãi, tự xác định ưu đãi thuế được hưởng để kê khai và quyết toán thuế theo Điều 22 Thông tư số 78/2014/TT-BTC.</w:t>
      </w:r>
    </w:p>
    <w:p w:rsidR="006B79AC" w:rsidRPr="00875F33" w:rsidRDefault="00195F6F" w:rsidP="00875F33">
      <w:pPr>
        <w:pStyle w:val="Vnbnnidung0"/>
        <w:spacing w:after="120" w:line="240" w:lineRule="auto"/>
        <w:ind w:firstLine="284"/>
        <w:rPr>
          <w:rFonts w:ascii="Arial" w:hAnsi="Arial" w:cs="Arial"/>
          <w:sz w:val="20"/>
          <w:szCs w:val="20"/>
        </w:rPr>
      </w:pPr>
      <w:r w:rsidRPr="00875F33">
        <w:rPr>
          <w:rFonts w:ascii="Arial" w:hAnsi="Arial" w:cs="Arial"/>
          <w:i w:val="0"/>
          <w:iCs w:val="0"/>
          <w:sz w:val="20"/>
          <w:szCs w:val="20"/>
        </w:rPr>
        <w:t>Nếu còn vướng mắc, Công ty liên hệ Phòng Tuyên truyền - Hỗ trợ NNT (</w:t>
      </w:r>
      <w:r w:rsidRPr="00875F33">
        <w:rPr>
          <w:rFonts w:ascii="Arial" w:eastAsia="Arial" w:hAnsi="Arial" w:cs="Arial"/>
          <w:i w:val="0"/>
          <w:iCs w:val="0"/>
          <w:sz w:val="20"/>
          <w:szCs w:val="20"/>
        </w:rPr>
        <w:t>S</w:t>
      </w:r>
      <w:r w:rsidRPr="00875F33">
        <w:rPr>
          <w:rFonts w:ascii="Arial" w:hAnsi="Arial" w:cs="Arial"/>
          <w:i w:val="0"/>
          <w:iCs w:val="0"/>
          <w:sz w:val="20"/>
          <w:szCs w:val="20"/>
        </w:rPr>
        <w:t>0226.3</w:t>
      </w:r>
      <w:r w:rsidRPr="00875F33">
        <w:rPr>
          <w:rFonts w:ascii="Arial" w:hAnsi="Arial" w:cs="Arial"/>
          <w:i w:val="0"/>
          <w:iCs w:val="0"/>
          <w:sz w:val="20"/>
          <w:szCs w:val="20"/>
        </w:rPr>
        <w:t>851.553); Phòng Thanh tra - Kiểm tra số 1 (</w:t>
      </w:r>
      <w:r w:rsidRPr="00875F33">
        <w:rPr>
          <w:rFonts w:ascii="Arial" w:eastAsia="Arial" w:hAnsi="Arial" w:cs="Arial"/>
          <w:i w:val="0"/>
          <w:iCs w:val="0"/>
          <w:sz w:val="20"/>
          <w:szCs w:val="20"/>
        </w:rPr>
        <w:t>S</w:t>
      </w:r>
      <w:r w:rsidRPr="00875F33">
        <w:rPr>
          <w:rFonts w:ascii="Arial" w:hAnsi="Arial" w:cs="Arial"/>
          <w:i w:val="0"/>
          <w:iCs w:val="0"/>
          <w:sz w:val="20"/>
          <w:szCs w:val="20"/>
        </w:rPr>
        <w:t>0226.3851.545) để được hỗ trợ.</w:t>
      </w:r>
    </w:p>
    <w:p w:rsidR="00875F33" w:rsidRDefault="00195F6F" w:rsidP="00875F33">
      <w:pPr>
        <w:pStyle w:val="Vnbnnidung0"/>
        <w:spacing w:after="120" w:line="240" w:lineRule="auto"/>
        <w:ind w:firstLine="284"/>
        <w:rPr>
          <w:rFonts w:ascii="Arial" w:hAnsi="Arial" w:cs="Arial"/>
          <w:i w:val="0"/>
          <w:iCs w:val="0"/>
          <w:sz w:val="20"/>
          <w:szCs w:val="20"/>
        </w:rPr>
      </w:pPr>
      <w:r w:rsidRPr="00875F33">
        <w:rPr>
          <w:rFonts w:ascii="Arial" w:hAnsi="Arial" w:cs="Arial"/>
          <w:i w:val="0"/>
          <w:iCs w:val="0"/>
          <w:sz w:val="20"/>
          <w:szCs w:val="20"/>
        </w:rPr>
        <w:t xml:space="preserve">Cục Thuế tỉnh Hà Nam trả lời để Công ty được biết </w:t>
      </w:r>
      <w:r w:rsidR="00875F33">
        <w:rPr>
          <w:rFonts w:ascii="Arial" w:hAnsi="Arial" w:cs="Arial"/>
          <w:i w:val="0"/>
          <w:iCs w:val="0"/>
          <w:sz w:val="20"/>
          <w:szCs w:val="20"/>
        </w:rPr>
        <w:t>và thực hiện./.</w:t>
      </w:r>
    </w:p>
    <w:p w:rsidR="00875F33" w:rsidRDefault="00875F33" w:rsidP="00875F33">
      <w:pPr>
        <w:pStyle w:val="Vnbnnidung0"/>
        <w:ind w:firstLine="580"/>
        <w:jc w:val="both"/>
        <w:rPr>
          <w:rFonts w:ascii="Arial" w:hAnsi="Arial" w:cs="Arial"/>
          <w:i w:val="0"/>
          <w:iCs w:val="0"/>
          <w:sz w:val="20"/>
          <w:szCs w:val="20"/>
        </w:rPr>
      </w:pP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875F33" w:rsidRPr="001443C0" w:rsidTr="00BA4CFF">
        <w:trPr>
          <w:trHeight w:val="2005"/>
        </w:trPr>
        <w:tc>
          <w:tcPr>
            <w:tcW w:w="5843" w:type="dxa"/>
            <w:shd w:val="clear" w:color="auto" w:fill="auto"/>
            <w:hideMark/>
          </w:tcPr>
          <w:p w:rsidR="00875F33" w:rsidRDefault="00875F33" w:rsidP="00BA4CFF">
            <w:pPr>
              <w:pStyle w:val="Vnbnnidung0"/>
              <w:ind w:firstLine="0"/>
              <w:rPr>
                <w:rFonts w:ascii="Arial" w:hAnsi="Arial" w:cs="Arial"/>
                <w:b/>
                <w:i w:val="0"/>
                <w:sz w:val="20"/>
                <w:szCs w:val="20"/>
              </w:rPr>
            </w:pPr>
            <w:r>
              <w:rPr>
                <w:rFonts w:ascii="Arial" w:hAnsi="Arial" w:cs="Arial"/>
                <w:b/>
                <w:i w:val="0"/>
                <w:sz w:val="20"/>
                <w:szCs w:val="20"/>
              </w:rPr>
              <w:t>Nơi nhận</w:t>
            </w:r>
          </w:p>
          <w:p w:rsidR="00875F33" w:rsidRPr="00875F33" w:rsidRDefault="00875F33" w:rsidP="00875F33">
            <w:pPr>
              <w:pStyle w:val="Vnbnnidung20"/>
              <w:tabs>
                <w:tab w:val="left" w:pos="258"/>
              </w:tabs>
              <w:rPr>
                <w:rFonts w:ascii="Arial" w:hAnsi="Arial" w:cs="Arial"/>
                <w:sz w:val="20"/>
                <w:szCs w:val="20"/>
              </w:rPr>
            </w:pPr>
            <w:r>
              <w:rPr>
                <w:rFonts w:ascii="Arial" w:hAnsi="Arial" w:cs="Arial"/>
                <w:sz w:val="20"/>
                <w:szCs w:val="20"/>
                <w:lang w:val="en-US"/>
              </w:rPr>
              <w:t xml:space="preserve">- </w:t>
            </w:r>
            <w:r w:rsidRPr="00875F33">
              <w:rPr>
                <w:rFonts w:ascii="Arial" w:hAnsi="Arial" w:cs="Arial"/>
                <w:sz w:val="20"/>
                <w:szCs w:val="20"/>
              </w:rPr>
              <w:t>Như trên;</w:t>
            </w:r>
          </w:p>
          <w:p w:rsidR="00875F33" w:rsidRPr="00875F33" w:rsidRDefault="00875F33" w:rsidP="00875F33">
            <w:pPr>
              <w:pStyle w:val="Vnbnnidung20"/>
              <w:tabs>
                <w:tab w:val="left" w:pos="258"/>
              </w:tabs>
              <w:rPr>
                <w:rFonts w:ascii="Arial" w:hAnsi="Arial" w:cs="Arial"/>
                <w:sz w:val="20"/>
                <w:szCs w:val="20"/>
              </w:rPr>
            </w:pPr>
            <w:bookmarkStart w:id="6" w:name="bookmark6"/>
            <w:bookmarkEnd w:id="6"/>
            <w:r>
              <w:rPr>
                <w:rFonts w:ascii="Arial" w:hAnsi="Arial" w:cs="Arial"/>
                <w:sz w:val="20"/>
                <w:szCs w:val="20"/>
                <w:lang w:val="en-US"/>
              </w:rPr>
              <w:t xml:space="preserve">- </w:t>
            </w:r>
            <w:r w:rsidRPr="00875F33">
              <w:rPr>
                <w:rFonts w:ascii="Arial" w:hAnsi="Arial" w:cs="Arial"/>
                <w:sz w:val="20"/>
                <w:szCs w:val="20"/>
              </w:rPr>
              <w:t>Cục trưởng;</w:t>
            </w:r>
          </w:p>
          <w:p w:rsidR="00875F33" w:rsidRPr="00875F33" w:rsidRDefault="00875F33" w:rsidP="00875F33">
            <w:pPr>
              <w:pStyle w:val="Vnbnnidung20"/>
              <w:tabs>
                <w:tab w:val="left" w:pos="258"/>
              </w:tabs>
              <w:rPr>
                <w:rFonts w:ascii="Arial" w:hAnsi="Arial" w:cs="Arial"/>
                <w:sz w:val="20"/>
                <w:szCs w:val="20"/>
              </w:rPr>
            </w:pPr>
            <w:bookmarkStart w:id="7" w:name="bookmark7"/>
            <w:bookmarkEnd w:id="7"/>
            <w:r>
              <w:rPr>
                <w:rFonts w:ascii="Arial" w:hAnsi="Arial" w:cs="Arial"/>
                <w:sz w:val="20"/>
                <w:szCs w:val="20"/>
                <w:lang w:val="en-US"/>
              </w:rPr>
              <w:t xml:space="preserve">- </w:t>
            </w:r>
            <w:r w:rsidRPr="00875F33">
              <w:rPr>
                <w:rFonts w:ascii="Arial" w:hAnsi="Arial" w:cs="Arial"/>
                <w:sz w:val="20"/>
                <w:szCs w:val="20"/>
              </w:rPr>
              <w:t>PCT. Nguyễn Quang Hệ;</w:t>
            </w:r>
          </w:p>
          <w:p w:rsidR="00875F33" w:rsidRPr="00875F33" w:rsidRDefault="00875F33" w:rsidP="00875F33">
            <w:pPr>
              <w:pStyle w:val="Vnbnnidung20"/>
              <w:tabs>
                <w:tab w:val="left" w:pos="258"/>
              </w:tabs>
              <w:rPr>
                <w:rFonts w:ascii="Arial" w:hAnsi="Arial" w:cs="Arial"/>
                <w:sz w:val="20"/>
                <w:szCs w:val="20"/>
              </w:rPr>
            </w:pPr>
            <w:bookmarkStart w:id="8" w:name="bookmark8"/>
            <w:bookmarkEnd w:id="8"/>
            <w:r>
              <w:rPr>
                <w:rFonts w:ascii="Arial" w:hAnsi="Arial" w:cs="Arial"/>
                <w:sz w:val="20"/>
                <w:szCs w:val="20"/>
                <w:lang w:val="en-US"/>
              </w:rPr>
              <w:t xml:space="preserve">- </w:t>
            </w:r>
            <w:r w:rsidRPr="00875F33">
              <w:rPr>
                <w:rFonts w:ascii="Arial" w:hAnsi="Arial" w:cs="Arial"/>
                <w:sz w:val="20"/>
                <w:szCs w:val="20"/>
              </w:rPr>
              <w:t xml:space="preserve">Phòng TTKT1; </w:t>
            </w:r>
            <w:r w:rsidRPr="00875F33">
              <w:rPr>
                <w:rFonts w:ascii="Arial" w:hAnsi="Arial" w:cs="Arial"/>
                <w:smallCaps/>
                <w:sz w:val="20"/>
                <w:szCs w:val="20"/>
              </w:rPr>
              <w:t>NvDtPC;</w:t>
            </w:r>
          </w:p>
          <w:p w:rsidR="00875F33" w:rsidRPr="00875F33" w:rsidRDefault="00875F33" w:rsidP="00875F33">
            <w:pPr>
              <w:pStyle w:val="Vnbnnidung20"/>
              <w:tabs>
                <w:tab w:val="left" w:pos="258"/>
              </w:tabs>
              <w:rPr>
                <w:rFonts w:ascii="Arial" w:hAnsi="Arial" w:cs="Arial"/>
                <w:sz w:val="20"/>
                <w:szCs w:val="20"/>
              </w:rPr>
            </w:pPr>
            <w:bookmarkStart w:id="9" w:name="bookmark9"/>
            <w:bookmarkEnd w:id="9"/>
            <w:r>
              <w:rPr>
                <w:rFonts w:ascii="Arial" w:hAnsi="Arial" w:cs="Arial"/>
                <w:sz w:val="20"/>
                <w:szCs w:val="20"/>
                <w:lang w:val="en-US"/>
              </w:rPr>
              <w:t xml:space="preserve">- </w:t>
            </w:r>
            <w:r w:rsidRPr="00875F33">
              <w:rPr>
                <w:rFonts w:ascii="Arial" w:hAnsi="Arial" w:cs="Arial"/>
                <w:sz w:val="20"/>
                <w:szCs w:val="20"/>
              </w:rPr>
              <w:t>Website Cục Thuế;</w:t>
            </w:r>
          </w:p>
          <w:p w:rsidR="00875F33" w:rsidRPr="00875F33" w:rsidRDefault="00875F33" w:rsidP="00875F33">
            <w:pPr>
              <w:pStyle w:val="Vnbnnidung20"/>
              <w:tabs>
                <w:tab w:val="left" w:pos="258"/>
              </w:tabs>
              <w:rPr>
                <w:rFonts w:ascii="Arial" w:hAnsi="Arial" w:cs="Arial"/>
                <w:sz w:val="20"/>
                <w:szCs w:val="20"/>
              </w:rPr>
            </w:pPr>
            <w:bookmarkStart w:id="10" w:name="bookmark10"/>
            <w:bookmarkEnd w:id="10"/>
            <w:r>
              <w:rPr>
                <w:rFonts w:ascii="Arial" w:hAnsi="Arial" w:cs="Arial"/>
                <w:sz w:val="20"/>
                <w:szCs w:val="20"/>
                <w:lang w:val="en-US"/>
              </w:rPr>
              <w:t xml:space="preserve">- </w:t>
            </w:r>
            <w:r w:rsidRPr="00875F33">
              <w:rPr>
                <w:rFonts w:ascii="Arial" w:hAnsi="Arial" w:cs="Arial"/>
                <w:sz w:val="20"/>
                <w:szCs w:val="20"/>
              </w:rPr>
              <w:t>Lưu: VT, TTHT.</w:t>
            </w:r>
          </w:p>
          <w:p w:rsidR="00875F33" w:rsidRPr="001443C0" w:rsidRDefault="00875F33" w:rsidP="00BA4CFF">
            <w:pPr>
              <w:pStyle w:val="Vnbnnidung20"/>
              <w:tabs>
                <w:tab w:val="left" w:pos="226"/>
              </w:tabs>
              <w:spacing w:after="60"/>
              <w:jc w:val="both"/>
              <w:rPr>
                <w:rFonts w:ascii="Arial" w:hAnsi="Arial" w:cs="Arial"/>
                <w:sz w:val="20"/>
                <w:szCs w:val="20"/>
              </w:rPr>
            </w:pPr>
          </w:p>
        </w:tc>
        <w:tc>
          <w:tcPr>
            <w:tcW w:w="4140" w:type="dxa"/>
            <w:shd w:val="clear" w:color="auto" w:fill="auto"/>
          </w:tcPr>
          <w:p w:rsidR="00875F33" w:rsidRPr="001443C0" w:rsidRDefault="00875F33" w:rsidP="00BA4CFF">
            <w:pPr>
              <w:pStyle w:val="Vnbnnidung0"/>
              <w:tabs>
                <w:tab w:val="left" w:pos="4030"/>
                <w:tab w:val="left" w:leader="dot" w:pos="4198"/>
              </w:tabs>
              <w:ind w:firstLine="0"/>
              <w:jc w:val="center"/>
              <w:rPr>
                <w:rFonts w:ascii="Arial" w:hAnsi="Arial" w:cs="Arial"/>
                <w:b/>
                <w:i w:val="0"/>
                <w:sz w:val="20"/>
                <w:szCs w:val="20"/>
              </w:rPr>
            </w:pPr>
            <w:r w:rsidRPr="001443C0">
              <w:rPr>
                <w:rFonts w:ascii="Arial" w:hAnsi="Arial" w:cs="Arial"/>
                <w:b/>
                <w:i w:val="0"/>
                <w:sz w:val="20"/>
                <w:szCs w:val="20"/>
                <w:lang w:val="en-US"/>
              </w:rPr>
              <w:t xml:space="preserve">KT. </w:t>
            </w:r>
            <w:r w:rsidRPr="001443C0">
              <w:rPr>
                <w:rFonts w:ascii="Arial" w:hAnsi="Arial" w:cs="Arial"/>
                <w:b/>
                <w:i w:val="0"/>
                <w:sz w:val="20"/>
                <w:szCs w:val="20"/>
              </w:rPr>
              <w:t>CỤC TRƯỞNG</w:t>
            </w:r>
          </w:p>
          <w:p w:rsidR="00875F33" w:rsidRPr="001443C0" w:rsidRDefault="00875F33" w:rsidP="00BA4CFF">
            <w:pPr>
              <w:pStyle w:val="Vnbnnidung0"/>
              <w:tabs>
                <w:tab w:val="left" w:pos="4030"/>
                <w:tab w:val="left" w:leader="dot" w:pos="4198"/>
              </w:tabs>
              <w:ind w:firstLine="0"/>
              <w:jc w:val="center"/>
              <w:rPr>
                <w:rFonts w:ascii="Arial" w:hAnsi="Arial" w:cs="Arial"/>
                <w:b/>
                <w:i w:val="0"/>
                <w:sz w:val="20"/>
                <w:szCs w:val="20"/>
                <w:lang w:val="en-US"/>
              </w:rPr>
            </w:pPr>
            <w:r w:rsidRPr="001443C0">
              <w:rPr>
                <w:rFonts w:ascii="Arial" w:hAnsi="Arial" w:cs="Arial"/>
                <w:b/>
                <w:i w:val="0"/>
                <w:sz w:val="20"/>
                <w:szCs w:val="20"/>
                <w:lang w:val="en-US"/>
              </w:rPr>
              <w:t>PHÓ CỤC TRƯỞNG</w:t>
            </w:r>
          </w:p>
          <w:p w:rsidR="00875F33" w:rsidRPr="001443C0" w:rsidRDefault="00875F33" w:rsidP="00BA4CFF">
            <w:pPr>
              <w:pStyle w:val="Vnbnnidung0"/>
              <w:tabs>
                <w:tab w:val="left" w:pos="4030"/>
                <w:tab w:val="left" w:leader="dot" w:pos="4198"/>
              </w:tabs>
              <w:ind w:firstLine="0"/>
              <w:jc w:val="center"/>
              <w:rPr>
                <w:rFonts w:ascii="Arial" w:hAnsi="Arial" w:cs="Arial"/>
                <w:b/>
                <w:i w:val="0"/>
                <w:sz w:val="20"/>
                <w:szCs w:val="20"/>
                <w:lang w:val="en-US"/>
              </w:rPr>
            </w:pPr>
          </w:p>
          <w:p w:rsidR="00875F33" w:rsidRPr="001443C0" w:rsidRDefault="00875F33" w:rsidP="00BA4CFF">
            <w:pPr>
              <w:pStyle w:val="Vnbnnidung0"/>
              <w:tabs>
                <w:tab w:val="left" w:pos="4030"/>
                <w:tab w:val="left" w:leader="dot" w:pos="4198"/>
              </w:tabs>
              <w:ind w:firstLine="0"/>
              <w:jc w:val="center"/>
              <w:rPr>
                <w:rFonts w:ascii="Arial" w:hAnsi="Arial" w:cs="Arial"/>
                <w:b/>
                <w:i w:val="0"/>
                <w:sz w:val="20"/>
                <w:szCs w:val="20"/>
                <w:lang w:val="en-US"/>
              </w:rPr>
            </w:pPr>
          </w:p>
          <w:p w:rsidR="00875F33" w:rsidRPr="001443C0" w:rsidRDefault="00875F33" w:rsidP="00BA4CFF">
            <w:pPr>
              <w:pStyle w:val="Vnbnnidung0"/>
              <w:tabs>
                <w:tab w:val="left" w:pos="4030"/>
                <w:tab w:val="left" w:leader="dot" w:pos="4198"/>
              </w:tabs>
              <w:ind w:firstLine="0"/>
              <w:jc w:val="center"/>
              <w:rPr>
                <w:rFonts w:ascii="Arial" w:hAnsi="Arial" w:cs="Arial"/>
                <w:b/>
                <w:i w:val="0"/>
                <w:sz w:val="20"/>
                <w:szCs w:val="20"/>
                <w:lang w:val="en-US"/>
              </w:rPr>
            </w:pPr>
          </w:p>
          <w:p w:rsidR="00875F33" w:rsidRPr="00633667" w:rsidRDefault="00875F33" w:rsidP="00BA4CFF">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Nguyễn Quang Hệ</w:t>
            </w:r>
          </w:p>
        </w:tc>
      </w:tr>
    </w:tbl>
    <w:p w:rsidR="00875F33" w:rsidRPr="00875F33" w:rsidRDefault="00875F33" w:rsidP="00875F33">
      <w:pPr>
        <w:pStyle w:val="Vnbnnidung0"/>
        <w:ind w:firstLine="0"/>
        <w:jc w:val="both"/>
        <w:rPr>
          <w:rFonts w:ascii="Arial" w:hAnsi="Arial" w:cs="Arial"/>
          <w:i w:val="0"/>
          <w:iCs w:val="0"/>
          <w:sz w:val="20"/>
          <w:szCs w:val="20"/>
        </w:rPr>
        <w:sectPr w:rsidR="00875F33" w:rsidRPr="00875F33">
          <w:headerReference w:type="default" r:id="rId7"/>
          <w:headerReference w:type="first" r:id="rId8"/>
          <w:pgSz w:w="11900" w:h="16840"/>
          <w:pgMar w:top="1105" w:right="1004" w:bottom="1268" w:left="1588" w:header="0" w:footer="3" w:gutter="0"/>
          <w:pgNumType w:start="1"/>
          <w:cols w:space="720"/>
          <w:noEndnote/>
          <w:titlePg/>
          <w:docGrid w:linePitch="360"/>
        </w:sectPr>
      </w:pPr>
    </w:p>
    <w:p w:rsidR="006B79AC" w:rsidRPr="00875F33" w:rsidRDefault="006B79AC" w:rsidP="00875F33">
      <w:pPr>
        <w:spacing w:line="1" w:lineRule="exact"/>
        <w:rPr>
          <w:rFonts w:ascii="Arial" w:hAnsi="Arial" w:cs="Arial"/>
          <w:sz w:val="20"/>
          <w:szCs w:val="20"/>
        </w:rPr>
      </w:pPr>
    </w:p>
    <w:sectPr w:rsidR="006B79AC" w:rsidRPr="00875F33">
      <w:type w:val="continuous"/>
      <w:pgSz w:w="11900" w:h="16840"/>
      <w:pgMar w:top="1110" w:right="1868" w:bottom="1110" w:left="1766" w:header="0" w:footer="3" w:gutter="0"/>
      <w:cols w:num="2" w:space="3247"/>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6F" w:rsidRDefault="00195F6F">
      <w:r>
        <w:separator/>
      </w:r>
    </w:p>
  </w:endnote>
  <w:endnote w:type="continuationSeparator" w:id="0">
    <w:p w:rsidR="00195F6F" w:rsidRDefault="0019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6F" w:rsidRDefault="00195F6F"/>
  </w:footnote>
  <w:footnote w:type="continuationSeparator" w:id="0">
    <w:p w:rsidR="00195F6F" w:rsidRDefault="00195F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AC" w:rsidRDefault="00195F6F">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3928745</wp:posOffset>
              </wp:positionH>
              <wp:positionV relativeFrom="page">
                <wp:posOffset>405765</wp:posOffset>
              </wp:positionV>
              <wp:extent cx="762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6B79AC" w:rsidRDefault="00195F6F">
                          <w:pPr>
                            <w:pStyle w:val="utranghocchntrang20"/>
                            <w:rPr>
                              <w:sz w:val="28"/>
                              <w:szCs w:val="28"/>
                            </w:rPr>
                          </w:pPr>
                          <w:r>
                            <w:fldChar w:fldCharType="begin"/>
                          </w:r>
                          <w:r>
                            <w:instrText xml:space="preserve"> PAGE \* MERGEFORMAT </w:instrText>
                          </w:r>
                          <w:r>
                            <w:fldChar w:fldCharType="separate"/>
                          </w:r>
                          <w:r w:rsidR="00875F33" w:rsidRPr="00875F33">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9.35pt;margin-top:31.9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" filled="f" stroked="f">
              <v:textbox style="mso-fit-shape-to-text:t" inset="0,0,0,0">
                <w:txbxContent>
                  <w:p w:rsidR="006B79AC" w:rsidRDefault="00195F6F">
                    <w:pPr>
                      <w:pStyle w:val="utranghocchntrang20"/>
                      <w:rPr>
                        <w:sz w:val="28"/>
                        <w:szCs w:val="28"/>
                      </w:rPr>
                    </w:pPr>
                    <w:r>
                      <w:fldChar w:fldCharType="begin"/>
                    </w:r>
                    <w:r>
                      <w:instrText xml:space="preserve"> PAGE \* MERGEFORMAT </w:instrText>
                    </w:r>
                    <w:r>
                      <w:fldChar w:fldCharType="separate"/>
                    </w:r>
                    <w:r w:rsidR="00875F33" w:rsidRPr="00875F33">
                      <w:rPr>
                        <w:noProof/>
                        <w:sz w:val="28"/>
                        <w:szCs w:val="28"/>
                      </w:rPr>
                      <w:t>3</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AC" w:rsidRDefault="006B79A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3ED"/>
    <w:multiLevelType w:val="multilevel"/>
    <w:tmpl w:val="0D3AD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8D63FC"/>
    <w:multiLevelType w:val="multilevel"/>
    <w:tmpl w:val="33849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AC"/>
    <w:rsid w:val="00195F6F"/>
    <w:rsid w:val="006B79AC"/>
    <w:rsid w:val="0087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06BF"/>
  <w15:docId w15:val="{CCF0C88D-8F2D-48B3-854D-EB4F3185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52" w:lineRule="auto"/>
      <w:ind w:firstLine="400"/>
    </w:pPr>
    <w:rPr>
      <w:rFonts w:ascii="Times New Roman" w:eastAsia="Times New Roman" w:hAnsi="Times New Roman" w:cs="Times New Roman"/>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875F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Admin</cp:lastModifiedBy>
  <cp:revision>2</cp:revision>
  <dcterms:created xsi:type="dcterms:W3CDTF">2024-12-27T09:16:00Z</dcterms:created>
  <dcterms:modified xsi:type="dcterms:W3CDTF">2024-12-27T09:20:00Z</dcterms:modified>
</cp:coreProperties>
</file>