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EB" w:rsidRPr="009204C5" w:rsidRDefault="00EA75EB" w:rsidP="009204C5">
      <w:pPr>
        <w:pStyle w:val="Vnbnnidung0"/>
        <w:ind w:firstLine="0"/>
        <w:jc w:val="both"/>
        <w:rPr>
          <w:rFonts w:ascii="Arial" w:hAnsi="Arial" w:cs="Arial"/>
          <w:sz w:val="20"/>
          <w:szCs w:val="20"/>
        </w:rPr>
      </w:pPr>
    </w:p>
    <w:tbl>
      <w:tblPr>
        <w:tblStyle w:val="TableGrid"/>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9204C5" w:rsidTr="009204C5">
        <w:trPr>
          <w:trHeight w:val="1413"/>
        </w:trPr>
        <w:tc>
          <w:tcPr>
            <w:tcW w:w="4703" w:type="dxa"/>
          </w:tcPr>
          <w:p w:rsidR="009204C5" w:rsidRPr="006A7EBA" w:rsidRDefault="009204C5" w:rsidP="00834E03">
            <w:pPr>
              <w:pStyle w:val="Vnbnnidung20"/>
              <w:ind w:firstLine="0"/>
              <w:jc w:val="center"/>
              <w:rPr>
                <w:rFonts w:ascii="Arial" w:hAnsi="Arial" w:cs="Arial"/>
                <w:b/>
                <w:sz w:val="20"/>
                <w:szCs w:val="20"/>
              </w:rPr>
            </w:pPr>
            <w:r w:rsidRPr="006A7EBA">
              <w:rPr>
                <w:rFonts w:ascii="Arial" w:hAnsi="Arial" w:cs="Arial"/>
                <w:b/>
                <w:sz w:val="20"/>
                <w:szCs w:val="20"/>
              </w:rPr>
              <w:t>TỔNG CỤC THUẾ</w:t>
            </w:r>
          </w:p>
          <w:p w:rsidR="009204C5" w:rsidRPr="006A7EBA" w:rsidRDefault="009204C5" w:rsidP="00834E03">
            <w:pPr>
              <w:pStyle w:val="Vnbnnidung20"/>
              <w:spacing w:after="300"/>
              <w:ind w:firstLine="0"/>
              <w:jc w:val="center"/>
              <w:rPr>
                <w:rFonts w:ascii="Arial" w:hAnsi="Arial" w:cs="Arial"/>
                <w:sz w:val="20"/>
                <w:szCs w:val="20"/>
              </w:rPr>
            </w:pPr>
            <w:r w:rsidRPr="006A7EBA">
              <w:rPr>
                <w:rFonts w:ascii="Arial" w:hAnsi="Arial" w:cs="Arial"/>
                <w:b/>
                <w:bCs/>
                <w:sz w:val="20"/>
                <w:szCs w:val="20"/>
              </w:rPr>
              <w:t xml:space="preserve">CỤC THUẾ TỈNH </w:t>
            </w:r>
            <w:r>
              <w:rPr>
                <w:rFonts w:ascii="Arial" w:hAnsi="Arial" w:cs="Arial"/>
                <w:b/>
                <w:bCs/>
                <w:sz w:val="20"/>
                <w:szCs w:val="20"/>
                <w:lang w:val="en-US"/>
              </w:rPr>
              <w:t>HÀ NAM</w:t>
            </w:r>
          </w:p>
          <w:p w:rsidR="009204C5" w:rsidRDefault="009204C5" w:rsidP="009204C5">
            <w:pPr>
              <w:pStyle w:val="Vnbnnidung0"/>
              <w:ind w:right="440" w:firstLine="0"/>
              <w:jc w:val="center"/>
              <w:rPr>
                <w:rFonts w:ascii="Arial" w:hAnsi="Arial" w:cs="Arial"/>
                <w:sz w:val="20"/>
                <w:szCs w:val="20"/>
              </w:rPr>
            </w:pPr>
            <w:r w:rsidRPr="009204C5">
              <w:rPr>
                <w:rFonts w:ascii="Arial" w:hAnsi="Arial" w:cs="Arial"/>
                <w:sz w:val="20"/>
                <w:szCs w:val="20"/>
              </w:rPr>
              <w:t>Số: 2562 /CTHNA-TTHT</w:t>
            </w:r>
          </w:p>
          <w:p w:rsidR="009204C5" w:rsidRPr="009204C5" w:rsidRDefault="009204C5" w:rsidP="009204C5">
            <w:pPr>
              <w:pStyle w:val="Vnbnnidung0"/>
              <w:ind w:right="440" w:firstLine="0"/>
              <w:jc w:val="center"/>
              <w:rPr>
                <w:rFonts w:ascii="Arial" w:hAnsi="Arial" w:cs="Arial"/>
                <w:sz w:val="20"/>
                <w:szCs w:val="20"/>
                <w:lang w:val="en-US"/>
              </w:rPr>
            </w:pPr>
            <w:r>
              <w:rPr>
                <w:rFonts w:ascii="Arial" w:hAnsi="Arial" w:cs="Arial"/>
                <w:sz w:val="20"/>
                <w:szCs w:val="20"/>
                <w:lang w:val="en-US"/>
              </w:rPr>
              <w:t>V/v chi phí khấu hao tài sản cố đinhh</w:t>
            </w:r>
          </w:p>
        </w:tc>
        <w:tc>
          <w:tcPr>
            <w:tcW w:w="4703" w:type="dxa"/>
          </w:tcPr>
          <w:p w:rsidR="009204C5" w:rsidRDefault="009204C5" w:rsidP="00834E03">
            <w:pPr>
              <w:pStyle w:val="Vnbnnidung0"/>
              <w:ind w:right="440" w:firstLine="0"/>
              <w:jc w:val="center"/>
              <w:rPr>
                <w:rFonts w:ascii="Arial" w:hAnsi="Arial" w:cs="Arial"/>
                <w:b/>
                <w:bCs/>
                <w:sz w:val="20"/>
                <w:szCs w:val="20"/>
              </w:rPr>
            </w:pPr>
            <w:r w:rsidRPr="006A7EBA">
              <w:rPr>
                <w:rFonts w:ascii="Arial" w:hAnsi="Arial" w:cs="Arial"/>
                <w:b/>
                <w:bCs/>
                <w:sz w:val="20"/>
                <w:szCs w:val="20"/>
              </w:rPr>
              <w:t>CỘNG HOÀ XÃ HỘI CHỦ NGHĨA VIỆT NAM</w:t>
            </w:r>
          </w:p>
          <w:p w:rsidR="009204C5" w:rsidRDefault="009204C5" w:rsidP="00834E03">
            <w:pPr>
              <w:pStyle w:val="Vnbnnidung0"/>
              <w:spacing w:after="260" w:line="230" w:lineRule="auto"/>
              <w:ind w:right="440" w:firstLine="0"/>
              <w:jc w:val="center"/>
              <w:rPr>
                <w:rFonts w:ascii="Arial" w:hAnsi="Arial" w:cs="Arial"/>
                <w:b/>
                <w:bCs/>
                <w:sz w:val="20"/>
                <w:szCs w:val="20"/>
              </w:rPr>
            </w:pPr>
            <w:r w:rsidRPr="006A7EBA">
              <w:rPr>
                <w:rFonts w:ascii="Arial" w:hAnsi="Arial" w:cs="Arial"/>
                <w:b/>
                <w:bCs/>
                <w:sz w:val="20"/>
                <w:szCs w:val="20"/>
              </w:rPr>
              <w:t>Độc lập - Tự do - Hạnh phúc</w:t>
            </w:r>
          </w:p>
          <w:p w:rsidR="009204C5" w:rsidRDefault="009204C5" w:rsidP="009204C5">
            <w:pPr>
              <w:pStyle w:val="Vnbnnidung0"/>
              <w:spacing w:after="1080"/>
              <w:ind w:right="440" w:firstLine="0"/>
              <w:jc w:val="right"/>
              <w:rPr>
                <w:rFonts w:ascii="Arial" w:hAnsi="Arial" w:cs="Arial"/>
                <w:sz w:val="20"/>
                <w:szCs w:val="20"/>
              </w:rPr>
            </w:pPr>
            <w:r>
              <w:rPr>
                <w:rFonts w:ascii="Arial" w:hAnsi="Arial" w:cs="Arial"/>
                <w:i/>
                <w:iCs/>
                <w:color w:val="auto"/>
                <w:sz w:val="20"/>
                <w:szCs w:val="20"/>
                <w:lang w:val="en-US"/>
              </w:rPr>
              <w:t>Hà Nam</w:t>
            </w:r>
            <w:r w:rsidRPr="006A7EBA">
              <w:rPr>
                <w:rFonts w:ascii="Arial" w:hAnsi="Arial" w:cs="Arial"/>
                <w:i/>
                <w:iCs/>
                <w:color w:val="auto"/>
                <w:sz w:val="20"/>
                <w:szCs w:val="20"/>
              </w:rPr>
              <w:t>, ngày 0</w:t>
            </w:r>
            <w:r>
              <w:rPr>
                <w:rFonts w:ascii="Arial" w:hAnsi="Arial" w:cs="Arial"/>
                <w:i/>
                <w:iCs/>
                <w:color w:val="auto"/>
                <w:sz w:val="20"/>
                <w:szCs w:val="20"/>
                <w:lang w:val="en-US"/>
              </w:rPr>
              <w:t>1</w:t>
            </w:r>
            <w:r w:rsidRPr="006A7EBA">
              <w:rPr>
                <w:rFonts w:ascii="Arial" w:hAnsi="Arial" w:cs="Arial"/>
                <w:i/>
                <w:iCs/>
                <w:color w:val="auto"/>
                <w:sz w:val="20"/>
                <w:szCs w:val="20"/>
              </w:rPr>
              <w:t xml:space="preserve"> thảng</w:t>
            </w:r>
            <w:r>
              <w:rPr>
                <w:rFonts w:ascii="Arial" w:hAnsi="Arial" w:cs="Arial"/>
                <w:i/>
                <w:iCs/>
                <w:color w:val="auto"/>
                <w:sz w:val="20"/>
                <w:szCs w:val="20"/>
                <w:lang w:val="en-US"/>
              </w:rPr>
              <w:t>10</w:t>
            </w:r>
            <w:r w:rsidRPr="006A7EBA">
              <w:rPr>
                <w:rFonts w:ascii="Arial" w:hAnsi="Arial" w:cs="Arial"/>
                <w:i/>
                <w:iCs/>
                <w:color w:val="auto"/>
                <w:sz w:val="20"/>
                <w:szCs w:val="20"/>
              </w:rPr>
              <w:t xml:space="preserve"> năm 2024</w:t>
            </w:r>
          </w:p>
        </w:tc>
      </w:tr>
      <w:tr w:rsidR="009204C5" w:rsidRPr="003D4234" w:rsidTr="00920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3" w:type="dxa"/>
            <w:tcBorders>
              <w:top w:val="nil"/>
              <w:left w:val="nil"/>
              <w:bottom w:val="nil"/>
              <w:right w:val="nil"/>
            </w:tcBorders>
          </w:tcPr>
          <w:p w:rsidR="009204C5" w:rsidRPr="003D4234" w:rsidRDefault="009204C5" w:rsidP="00834E03">
            <w:pPr>
              <w:jc w:val="right"/>
              <w:rPr>
                <w:rFonts w:ascii="Arial" w:hAnsi="Arial" w:cs="Arial"/>
                <w:color w:val="000000" w:themeColor="text1"/>
                <w:sz w:val="20"/>
                <w:szCs w:val="20"/>
              </w:rPr>
            </w:pPr>
            <w:r w:rsidRPr="003D4234">
              <w:rPr>
                <w:rFonts w:ascii="Arial" w:hAnsi="Arial" w:cs="Arial"/>
                <w:bCs/>
                <w:color w:val="000000" w:themeColor="text1"/>
                <w:sz w:val="20"/>
                <w:szCs w:val="20"/>
              </w:rPr>
              <w:t>Kính gửi:</w:t>
            </w:r>
          </w:p>
        </w:tc>
        <w:tc>
          <w:tcPr>
            <w:tcW w:w="4703" w:type="dxa"/>
            <w:tcBorders>
              <w:top w:val="nil"/>
              <w:left w:val="nil"/>
              <w:bottom w:val="nil"/>
              <w:right w:val="nil"/>
            </w:tcBorders>
          </w:tcPr>
          <w:p w:rsidR="009204C5" w:rsidRDefault="009204C5" w:rsidP="009204C5">
            <w:pPr>
              <w:rPr>
                <w:rFonts w:ascii="Arial" w:hAnsi="Arial" w:cs="Arial"/>
                <w:sz w:val="20"/>
                <w:szCs w:val="20"/>
              </w:rPr>
            </w:pPr>
            <w:r w:rsidRPr="009204C5">
              <w:rPr>
                <w:rFonts w:ascii="Arial" w:hAnsi="Arial" w:cs="Arial"/>
                <w:sz w:val="20"/>
                <w:szCs w:val="20"/>
              </w:rPr>
              <w:t>Công ty TNHH ESSA HI-TECH.</w:t>
            </w:r>
          </w:p>
          <w:p w:rsidR="009204C5" w:rsidRDefault="009204C5" w:rsidP="009204C5">
            <w:pPr>
              <w:pStyle w:val="Vnbnnidung0"/>
              <w:ind w:firstLine="0"/>
              <w:jc w:val="both"/>
              <w:rPr>
                <w:rFonts w:ascii="Arial" w:hAnsi="Arial" w:cs="Arial"/>
                <w:sz w:val="20"/>
                <w:szCs w:val="20"/>
              </w:rPr>
            </w:pPr>
            <w:r w:rsidRPr="009204C5">
              <w:rPr>
                <w:rFonts w:ascii="Arial" w:hAnsi="Arial" w:cs="Arial"/>
                <w:sz w:val="20"/>
                <w:szCs w:val="20"/>
              </w:rPr>
              <w:t>Mã số thuế: 0700639962.</w:t>
            </w:r>
          </w:p>
          <w:p w:rsidR="009204C5" w:rsidRPr="009204C5" w:rsidRDefault="009204C5" w:rsidP="009204C5">
            <w:pPr>
              <w:pStyle w:val="Vnbnnidung0"/>
              <w:ind w:firstLine="0"/>
              <w:jc w:val="both"/>
              <w:rPr>
                <w:rFonts w:ascii="Arial" w:hAnsi="Arial" w:cs="Arial"/>
                <w:sz w:val="20"/>
                <w:szCs w:val="20"/>
              </w:rPr>
            </w:pPr>
            <w:r w:rsidRPr="009204C5">
              <w:rPr>
                <w:rFonts w:ascii="Arial" w:hAnsi="Arial" w:cs="Arial"/>
                <w:sz w:val="20"/>
                <w:szCs w:val="20"/>
              </w:rPr>
              <w:t>Địa chỉ: Lô N2-1, KCN Đồng Văn II, P. Duy Minh, TX Duy Tiên, tỉnh Hà Nam.</w:t>
            </w:r>
          </w:p>
        </w:tc>
      </w:tr>
    </w:tbl>
    <w:p w:rsidR="00EA75EB" w:rsidRPr="009204C5" w:rsidRDefault="00FC21A2" w:rsidP="009204C5">
      <w:pPr>
        <w:pStyle w:val="Vnbnnidung0"/>
        <w:spacing w:after="120"/>
        <w:ind w:firstLine="284"/>
        <w:rPr>
          <w:rFonts w:ascii="Arial" w:hAnsi="Arial" w:cs="Arial"/>
          <w:sz w:val="20"/>
          <w:szCs w:val="20"/>
        </w:rPr>
      </w:pPr>
      <w:r w:rsidRPr="009204C5">
        <w:rPr>
          <w:rFonts w:ascii="Arial" w:hAnsi="Arial" w:cs="Arial"/>
          <w:sz w:val="20"/>
          <w:szCs w:val="20"/>
        </w:rPr>
        <w:t xml:space="preserve">Trả lời văn bản số 01/2024/ESSA ngày 26/8/2024 của Công ty TNHH ESSA HI-TECH </w:t>
      </w:r>
      <w:r w:rsidRPr="009204C5">
        <w:rPr>
          <w:rFonts w:ascii="Arial" w:hAnsi="Arial" w:cs="Arial"/>
          <w:i/>
          <w:iCs/>
          <w:sz w:val="20"/>
          <w:szCs w:val="20"/>
        </w:rPr>
        <w:t>(</w:t>
      </w:r>
      <w:r w:rsidRPr="009204C5">
        <w:rPr>
          <w:rFonts w:ascii="Arial" w:hAnsi="Arial" w:cs="Arial"/>
          <w:i/>
          <w:iCs/>
          <w:sz w:val="20"/>
          <w:szCs w:val="20"/>
        </w:rPr>
        <w:t>gọi tắt là Công ty</w:t>
      </w:r>
      <w:r w:rsidRPr="009204C5">
        <w:rPr>
          <w:rFonts w:ascii="Arial" w:hAnsi="Arial" w:cs="Arial"/>
          <w:i/>
          <w:iCs/>
          <w:sz w:val="20"/>
          <w:szCs w:val="20"/>
        </w:rPr>
        <w:t>)</w:t>
      </w:r>
      <w:r w:rsidRPr="009204C5">
        <w:rPr>
          <w:rFonts w:ascii="Arial" w:hAnsi="Arial" w:cs="Arial"/>
          <w:sz w:val="20"/>
          <w:szCs w:val="20"/>
        </w:rPr>
        <w:t xml:space="preserve"> về việc xác định chi phí khấu hao được trừ trong th</w:t>
      </w:r>
      <w:r w:rsidRPr="009204C5">
        <w:rPr>
          <w:rFonts w:ascii="Arial" w:hAnsi="Arial" w:cs="Arial"/>
          <w:sz w:val="20"/>
          <w:szCs w:val="20"/>
        </w:rPr>
        <w:t>ời gian tạm dừng để sửa chữa, Cục Thuế tỉnh Hà Nam có ý kiến như sau:</w:t>
      </w:r>
    </w:p>
    <w:p w:rsidR="00EA75EB" w:rsidRPr="009204C5" w:rsidRDefault="00FC21A2" w:rsidP="009204C5">
      <w:pPr>
        <w:pStyle w:val="Vnbnnidung0"/>
        <w:spacing w:after="120"/>
        <w:ind w:firstLine="284"/>
        <w:rPr>
          <w:rFonts w:ascii="Arial" w:hAnsi="Arial" w:cs="Arial"/>
          <w:sz w:val="20"/>
          <w:szCs w:val="20"/>
        </w:rPr>
      </w:pPr>
      <w:r w:rsidRPr="009204C5">
        <w:rPr>
          <w:rFonts w:ascii="Arial" w:hAnsi="Arial" w:cs="Arial"/>
          <w:sz w:val="20"/>
          <w:szCs w:val="20"/>
        </w:rPr>
        <w:t>Căn cứ khoản 1; tiết a, tiết i, điểm 2.2, khoản 2, Điều 6 Thông tư 78/2014/TT- BTC ngày 18/6/2014 của Bộ Tài chính (được sửa đổi, bổ sung tại Điều 4 Thông tư 96/2015/TT-BTC ngày 22/6/201</w:t>
      </w:r>
      <w:r w:rsidRPr="009204C5">
        <w:rPr>
          <w:rFonts w:ascii="Arial" w:hAnsi="Arial" w:cs="Arial"/>
          <w:sz w:val="20"/>
          <w:szCs w:val="20"/>
        </w:rPr>
        <w:t>5 của Bộ Tài chính) quy định:</w:t>
      </w:r>
    </w:p>
    <w:p w:rsidR="00EA75EB" w:rsidRPr="009204C5" w:rsidRDefault="00FC21A2" w:rsidP="009204C5">
      <w:pPr>
        <w:pStyle w:val="Vnbnnidung0"/>
        <w:spacing w:after="120"/>
        <w:ind w:firstLine="284"/>
        <w:rPr>
          <w:rFonts w:ascii="Arial" w:hAnsi="Arial" w:cs="Arial"/>
          <w:sz w:val="20"/>
          <w:szCs w:val="20"/>
        </w:rPr>
      </w:pPr>
      <w:r w:rsidRPr="009204C5">
        <w:rPr>
          <w:rFonts w:ascii="Arial" w:hAnsi="Arial" w:cs="Arial"/>
          <w:i/>
          <w:iCs/>
          <w:sz w:val="20"/>
          <w:szCs w:val="20"/>
        </w:rPr>
        <w:t>“Điều 6. Các khoản chi được trừ và không được trừ khi xác định thu nhập chịu thuế</w:t>
      </w:r>
    </w:p>
    <w:p w:rsidR="00EA75EB" w:rsidRPr="009204C5" w:rsidRDefault="00FC21A2" w:rsidP="009204C5">
      <w:pPr>
        <w:pStyle w:val="Vnbnnidung0"/>
        <w:spacing w:after="120"/>
        <w:ind w:firstLine="284"/>
        <w:rPr>
          <w:rFonts w:ascii="Arial" w:hAnsi="Arial" w:cs="Arial"/>
          <w:sz w:val="20"/>
          <w:szCs w:val="20"/>
        </w:rPr>
      </w:pPr>
      <w:r w:rsidRPr="009204C5">
        <w:rPr>
          <w:rFonts w:ascii="Arial" w:hAnsi="Arial" w:cs="Arial"/>
          <w:i/>
          <w:iCs/>
          <w:sz w:val="20"/>
          <w:szCs w:val="20"/>
        </w:rPr>
        <w:t>1. Trừ các khoản chi không được trừ nêu tại Khoản 2 Điều này, doanh nghiệp được trừ mọi khoản chi nếu đáp ứng đủ các điều kiện sau:</w:t>
      </w:r>
    </w:p>
    <w:p w:rsidR="00EA75EB" w:rsidRPr="009204C5" w:rsidRDefault="003E7C9E" w:rsidP="003E7C9E">
      <w:pPr>
        <w:pStyle w:val="Vnbnnidung0"/>
        <w:tabs>
          <w:tab w:val="left" w:pos="1148"/>
        </w:tabs>
        <w:spacing w:after="120"/>
        <w:ind w:left="284" w:firstLine="0"/>
        <w:rPr>
          <w:rFonts w:ascii="Arial" w:hAnsi="Arial" w:cs="Arial"/>
          <w:sz w:val="20"/>
          <w:szCs w:val="20"/>
        </w:rPr>
      </w:pPr>
      <w:bookmarkStart w:id="0" w:name="bookmark0"/>
      <w:bookmarkEnd w:id="0"/>
      <w:r>
        <w:rPr>
          <w:rFonts w:ascii="Arial" w:hAnsi="Arial" w:cs="Arial"/>
          <w:i/>
          <w:iCs/>
          <w:sz w:val="20"/>
          <w:szCs w:val="20"/>
          <w:lang w:val="en-US"/>
        </w:rPr>
        <w:t xml:space="preserve">a) </w:t>
      </w:r>
      <w:r w:rsidR="00FC21A2" w:rsidRPr="009204C5">
        <w:rPr>
          <w:rFonts w:ascii="Arial" w:hAnsi="Arial" w:cs="Arial"/>
          <w:i/>
          <w:iCs/>
          <w:sz w:val="20"/>
          <w:szCs w:val="20"/>
        </w:rPr>
        <w:t>Khoản chi th</w:t>
      </w:r>
      <w:r w:rsidR="00FC21A2" w:rsidRPr="009204C5">
        <w:rPr>
          <w:rFonts w:ascii="Arial" w:hAnsi="Arial" w:cs="Arial"/>
          <w:i/>
          <w:iCs/>
          <w:sz w:val="20"/>
          <w:szCs w:val="20"/>
        </w:rPr>
        <w:t>ực tế phát sinh liên quan đến hoạt động sản xuất, kinh doanh của doanh nghiệp.</w:t>
      </w:r>
    </w:p>
    <w:p w:rsidR="00EA75EB" w:rsidRPr="009204C5" w:rsidRDefault="003E7C9E" w:rsidP="003E7C9E">
      <w:pPr>
        <w:pStyle w:val="Vnbnnidung0"/>
        <w:tabs>
          <w:tab w:val="left" w:pos="1186"/>
        </w:tabs>
        <w:spacing w:after="120"/>
        <w:ind w:left="284" w:firstLine="0"/>
        <w:rPr>
          <w:rFonts w:ascii="Arial" w:hAnsi="Arial" w:cs="Arial"/>
          <w:sz w:val="20"/>
          <w:szCs w:val="20"/>
        </w:rPr>
      </w:pPr>
      <w:bookmarkStart w:id="1" w:name="bookmark1"/>
      <w:bookmarkEnd w:id="1"/>
      <w:r>
        <w:rPr>
          <w:rFonts w:ascii="Arial" w:hAnsi="Arial" w:cs="Arial"/>
          <w:i/>
          <w:iCs/>
          <w:sz w:val="20"/>
          <w:szCs w:val="20"/>
          <w:lang w:val="en-US"/>
        </w:rPr>
        <w:t xml:space="preserve">b) </w:t>
      </w:r>
      <w:r w:rsidR="00FC21A2" w:rsidRPr="009204C5">
        <w:rPr>
          <w:rFonts w:ascii="Arial" w:hAnsi="Arial" w:cs="Arial"/>
          <w:i/>
          <w:iCs/>
          <w:sz w:val="20"/>
          <w:szCs w:val="20"/>
        </w:rPr>
        <w:t>Khoản chi có đủ hoá đơn, chứng từ hợp pháp theo quy định của pháp luật.</w:t>
      </w:r>
    </w:p>
    <w:p w:rsidR="00EA75EB" w:rsidRPr="009204C5" w:rsidRDefault="003E7C9E" w:rsidP="003E7C9E">
      <w:pPr>
        <w:pStyle w:val="Vnbnnidung0"/>
        <w:tabs>
          <w:tab w:val="left" w:pos="1158"/>
        </w:tabs>
        <w:spacing w:after="120"/>
        <w:ind w:left="284" w:firstLine="0"/>
        <w:rPr>
          <w:rFonts w:ascii="Arial" w:hAnsi="Arial" w:cs="Arial"/>
          <w:sz w:val="20"/>
          <w:szCs w:val="20"/>
        </w:rPr>
      </w:pPr>
      <w:bookmarkStart w:id="2" w:name="bookmark2"/>
      <w:bookmarkEnd w:id="2"/>
      <w:r>
        <w:rPr>
          <w:rFonts w:ascii="Arial" w:hAnsi="Arial" w:cs="Arial"/>
          <w:i/>
          <w:iCs/>
          <w:sz w:val="20"/>
          <w:szCs w:val="20"/>
          <w:lang w:val="en-US"/>
        </w:rPr>
        <w:t xml:space="preserve">c) </w:t>
      </w:r>
      <w:r w:rsidR="00FC21A2" w:rsidRPr="009204C5">
        <w:rPr>
          <w:rFonts w:ascii="Arial" w:hAnsi="Arial" w:cs="Arial"/>
          <w:i/>
          <w:iCs/>
          <w:sz w:val="20"/>
          <w:szCs w:val="20"/>
        </w:rPr>
        <w:t xml:space="preserve">Khoản chi nếu có hoá đơn mua hàng hoá, dịch vụ từng lần có giá trị từ 20 triệu đồng trở lên (giá đã bao </w:t>
      </w:r>
      <w:r w:rsidR="00FC21A2" w:rsidRPr="009204C5">
        <w:rPr>
          <w:rFonts w:ascii="Arial" w:hAnsi="Arial" w:cs="Arial"/>
          <w:i/>
          <w:iCs/>
          <w:sz w:val="20"/>
          <w:szCs w:val="20"/>
        </w:rPr>
        <w:t>gồm thuế GTGT) khi thanh toán phải có chứng từ thanh toán không dùng tiền mặt.</w:t>
      </w:r>
    </w:p>
    <w:p w:rsidR="00EA75EB" w:rsidRPr="009204C5" w:rsidRDefault="00FC21A2" w:rsidP="009204C5">
      <w:pPr>
        <w:pStyle w:val="Vnbnnidung0"/>
        <w:spacing w:after="120"/>
        <w:ind w:firstLine="284"/>
        <w:rPr>
          <w:rFonts w:ascii="Arial" w:hAnsi="Arial" w:cs="Arial"/>
          <w:sz w:val="20"/>
          <w:szCs w:val="20"/>
        </w:rPr>
      </w:pPr>
      <w:r w:rsidRPr="009204C5">
        <w:rPr>
          <w:rFonts w:ascii="Arial" w:hAnsi="Arial" w:cs="Arial"/>
          <w:i/>
          <w:iCs/>
          <w:sz w:val="20"/>
          <w:szCs w:val="20"/>
        </w:rPr>
        <w:t>Chứng từ thanh toán không dùng tiền mặt thực hiện theo quy định của các văn bản pháp luật về thuế giá trị gia tăng.</w:t>
      </w:r>
    </w:p>
    <w:p w:rsidR="00EA75EB" w:rsidRPr="009204C5" w:rsidRDefault="00FC21A2" w:rsidP="009204C5">
      <w:pPr>
        <w:pStyle w:val="Vnbnnidung0"/>
        <w:spacing w:after="120"/>
        <w:ind w:firstLine="284"/>
        <w:rPr>
          <w:rFonts w:ascii="Arial" w:hAnsi="Arial" w:cs="Arial"/>
          <w:sz w:val="20"/>
          <w:szCs w:val="20"/>
        </w:rPr>
      </w:pPr>
      <w:r w:rsidRPr="009204C5">
        <w:rPr>
          <w:rFonts w:ascii="Arial" w:hAnsi="Arial" w:cs="Arial"/>
          <w:i/>
          <w:iCs/>
          <w:sz w:val="20"/>
          <w:szCs w:val="20"/>
        </w:rPr>
        <w:t xml:space="preserve">2.2. Chi khấu hao tài sản cố định thuộc một trong các trường </w:t>
      </w:r>
      <w:r w:rsidRPr="009204C5">
        <w:rPr>
          <w:rFonts w:ascii="Arial" w:hAnsi="Arial" w:cs="Arial"/>
          <w:i/>
          <w:iCs/>
          <w:sz w:val="20"/>
          <w:szCs w:val="20"/>
        </w:rPr>
        <w:t>hợp sau:</w:t>
      </w:r>
    </w:p>
    <w:p w:rsidR="00EA75EB" w:rsidRPr="009204C5" w:rsidRDefault="00FC21A2" w:rsidP="009204C5">
      <w:pPr>
        <w:pStyle w:val="Vnbnnidung0"/>
        <w:spacing w:after="120"/>
        <w:ind w:firstLine="284"/>
        <w:rPr>
          <w:rFonts w:ascii="Arial" w:hAnsi="Arial" w:cs="Arial"/>
          <w:sz w:val="20"/>
          <w:szCs w:val="20"/>
        </w:rPr>
      </w:pPr>
      <w:r w:rsidRPr="009204C5">
        <w:rPr>
          <w:rFonts w:ascii="Arial" w:hAnsi="Arial" w:cs="Arial"/>
          <w:i/>
          <w:iCs/>
          <w:sz w:val="20"/>
          <w:szCs w:val="20"/>
        </w:rPr>
        <w:t>a) Chi khấu hao đối với tài sản cố định không sử dụng cho hoạt động sản xuất, kinh doanh hàng hóa, dịch vụ.</w:t>
      </w:r>
    </w:p>
    <w:p w:rsidR="00EA75EB" w:rsidRPr="009204C5" w:rsidRDefault="00FC21A2" w:rsidP="009204C5">
      <w:pPr>
        <w:pStyle w:val="Vnbnnidung0"/>
        <w:spacing w:after="120"/>
        <w:ind w:firstLine="284"/>
        <w:rPr>
          <w:rFonts w:ascii="Arial" w:hAnsi="Arial" w:cs="Arial"/>
          <w:sz w:val="20"/>
          <w:szCs w:val="20"/>
        </w:rPr>
      </w:pPr>
      <w:r w:rsidRPr="009204C5">
        <w:rPr>
          <w:rFonts w:ascii="Arial" w:hAnsi="Arial" w:cs="Arial"/>
          <w:i/>
          <w:iCs/>
          <w:sz w:val="20"/>
          <w:szCs w:val="20"/>
        </w:rPr>
        <w:t>e) Một số trường hợp cụ thể được xác định như sau:</w:t>
      </w:r>
    </w:p>
    <w:p w:rsidR="00EA75EB" w:rsidRPr="009204C5" w:rsidRDefault="00FC21A2" w:rsidP="009204C5">
      <w:pPr>
        <w:pStyle w:val="Vnbnnidung0"/>
        <w:spacing w:after="120"/>
        <w:ind w:firstLine="284"/>
        <w:rPr>
          <w:rFonts w:ascii="Arial" w:hAnsi="Arial" w:cs="Arial"/>
          <w:sz w:val="20"/>
          <w:szCs w:val="20"/>
        </w:rPr>
      </w:pPr>
      <w:r w:rsidRPr="009204C5">
        <w:rPr>
          <w:rFonts w:ascii="Arial" w:hAnsi="Arial" w:cs="Arial"/>
          <w:i/>
          <w:iCs/>
          <w:sz w:val="20"/>
          <w:szCs w:val="20"/>
        </w:rPr>
        <w:t xml:space="preserve">- Trường hợp tài sản cố định thuộc quyền sở hữu của doanh nghiệp đang dùng cho sản xuất </w:t>
      </w:r>
      <w:r w:rsidRPr="009204C5">
        <w:rPr>
          <w:rFonts w:ascii="Arial" w:hAnsi="Arial" w:cs="Arial"/>
          <w:i/>
          <w:iCs/>
          <w:sz w:val="20"/>
          <w:szCs w:val="20"/>
        </w:rPr>
        <w:t xml:space="preserve">kinh doanh nhưng phải tạm thời dừng do sản xuất theo mùa vụ với thời gian dưới 09 tháng; tạm thời dừng để sửa chữa, để di dời di chuyển địa điểm, để bảo trì, bảo dưỡng theo định kỳ, với thời gian dưới 12 tháng, sau đó tài sản cố định tiếp tục đưa vào phục </w:t>
      </w:r>
      <w:r w:rsidRPr="009204C5">
        <w:rPr>
          <w:rFonts w:ascii="Arial" w:hAnsi="Arial" w:cs="Arial"/>
          <w:i/>
          <w:iCs/>
          <w:sz w:val="20"/>
          <w:szCs w:val="20"/>
        </w:rPr>
        <w:t>vụ cho hoạt động sản xuất kinh doanh thì trong khoảng thời gian tạm dừng đó, doanh nghiệp được trích khấu hao và khoản chi phí khấu hao tài sản cố định trong thời gian tạm dừng được tính vào chi phí được trừ khi xác định thu nhập chịu thuế.</w:t>
      </w:r>
    </w:p>
    <w:p w:rsidR="00EA75EB" w:rsidRPr="009204C5" w:rsidRDefault="00FC21A2" w:rsidP="009204C5">
      <w:pPr>
        <w:pStyle w:val="Vnbnnidung0"/>
        <w:spacing w:after="120"/>
        <w:ind w:firstLine="284"/>
        <w:rPr>
          <w:rFonts w:ascii="Arial" w:hAnsi="Arial" w:cs="Arial"/>
          <w:sz w:val="20"/>
          <w:szCs w:val="20"/>
        </w:rPr>
      </w:pPr>
      <w:r w:rsidRPr="009204C5">
        <w:rPr>
          <w:rFonts w:ascii="Arial" w:hAnsi="Arial" w:cs="Arial"/>
          <w:i/>
          <w:iCs/>
          <w:sz w:val="20"/>
          <w:szCs w:val="20"/>
        </w:rPr>
        <w:t>Doanh nghiệp p</w:t>
      </w:r>
      <w:r w:rsidRPr="009204C5">
        <w:rPr>
          <w:rFonts w:ascii="Arial" w:hAnsi="Arial" w:cs="Arial"/>
          <w:i/>
          <w:iCs/>
          <w:sz w:val="20"/>
          <w:szCs w:val="20"/>
        </w:rPr>
        <w:t>hải lưu giữ và cung cấp đầy đủ hồ sơ, lý do của việc tạm dừng tài sản cố định khi cơ quan thuế yêu cầu.”</w:t>
      </w:r>
    </w:p>
    <w:p w:rsidR="00EA75EB" w:rsidRPr="009204C5" w:rsidRDefault="00FC21A2" w:rsidP="009204C5">
      <w:pPr>
        <w:pStyle w:val="Vnbnnidung0"/>
        <w:spacing w:after="120"/>
        <w:ind w:firstLine="284"/>
        <w:rPr>
          <w:rFonts w:ascii="Arial" w:hAnsi="Arial" w:cs="Arial"/>
          <w:sz w:val="20"/>
          <w:szCs w:val="20"/>
        </w:rPr>
      </w:pPr>
      <w:r w:rsidRPr="009204C5">
        <w:rPr>
          <w:rFonts w:ascii="Arial" w:hAnsi="Arial" w:cs="Arial"/>
          <w:sz w:val="20"/>
          <w:szCs w:val="20"/>
        </w:rPr>
        <w:t>Căn cứ các quy định nêu trên, chi phí khấu hao tài sản cố định được tính vào chi phí được trừ khi xác định thu nhập chịu thuế thu nhập doanh nghiệp đượ</w:t>
      </w:r>
      <w:r w:rsidRPr="009204C5">
        <w:rPr>
          <w:rFonts w:ascii="Arial" w:hAnsi="Arial" w:cs="Arial"/>
          <w:sz w:val="20"/>
          <w:szCs w:val="20"/>
        </w:rPr>
        <w:t>c hướng dẫn như sau:</w:t>
      </w:r>
    </w:p>
    <w:p w:rsidR="00EA75EB" w:rsidRPr="009204C5" w:rsidRDefault="009204C5" w:rsidP="009204C5">
      <w:pPr>
        <w:pStyle w:val="Vnbnnidung0"/>
        <w:tabs>
          <w:tab w:val="left" w:pos="1027"/>
        </w:tabs>
        <w:spacing w:after="120"/>
        <w:ind w:firstLine="284"/>
        <w:rPr>
          <w:rFonts w:ascii="Arial" w:hAnsi="Arial" w:cs="Arial"/>
          <w:sz w:val="20"/>
          <w:szCs w:val="20"/>
        </w:rPr>
      </w:pPr>
      <w:bookmarkStart w:id="3" w:name="bookmark3"/>
      <w:bookmarkEnd w:id="3"/>
      <w:r>
        <w:rPr>
          <w:rFonts w:ascii="Arial" w:hAnsi="Arial" w:cs="Arial"/>
          <w:sz w:val="20"/>
          <w:szCs w:val="20"/>
          <w:lang w:val="en-US"/>
        </w:rPr>
        <w:t>-</w:t>
      </w:r>
      <w:bookmarkStart w:id="4" w:name="_GoBack"/>
      <w:bookmarkEnd w:id="4"/>
      <w:r>
        <w:rPr>
          <w:rFonts w:ascii="Arial" w:hAnsi="Arial" w:cs="Arial"/>
          <w:sz w:val="20"/>
          <w:szCs w:val="20"/>
          <w:lang w:val="en-US"/>
        </w:rPr>
        <w:t xml:space="preserve"> </w:t>
      </w:r>
      <w:r w:rsidR="00FC21A2" w:rsidRPr="009204C5">
        <w:rPr>
          <w:rFonts w:ascii="Arial" w:hAnsi="Arial" w:cs="Arial"/>
          <w:sz w:val="20"/>
          <w:szCs w:val="20"/>
        </w:rPr>
        <w:t>Đối với nhà xưởng đang hoạt động sau sau đó tạm dừng để sửa chữa và tiếp tục sử dụng sau khi sửa chữa: Trường hợp phân xưởng 1 của Công ty đang dùng cho hoạt động sản xuất kinh doanh, phải tạm dừng hoạt động để sửa chữa, hoàn tất quá t</w:t>
      </w:r>
      <w:r w:rsidR="00FC21A2" w:rsidRPr="009204C5">
        <w:rPr>
          <w:rFonts w:ascii="Arial" w:hAnsi="Arial" w:cs="Arial"/>
          <w:sz w:val="20"/>
          <w:szCs w:val="20"/>
        </w:rPr>
        <w:t>rình sửa chữa lại đưa vào hoạt động (thời gian tạm dừng để sửa chữa không quá 09 tháng) thì chi phí khấu hao trong thời gian dừng hoạt động để sửa chữa của phân xưởng 01 được trừ vào chi phí khi xác định thu nhập chịu thuế TNDN nếu các khoản chi phí trên đ</w:t>
      </w:r>
      <w:r w:rsidR="00FC21A2" w:rsidRPr="009204C5">
        <w:rPr>
          <w:rFonts w:ascii="Arial" w:hAnsi="Arial" w:cs="Arial"/>
          <w:sz w:val="20"/>
          <w:szCs w:val="20"/>
        </w:rPr>
        <w:t>áp ứng đủ các điều kiện quy định tại khoản 1 Điều 6 Thông tư 78/2014/TT-BTC ngày 18/6/2014 của Bộ Tài chính (được sửa đổi, bổ sung tại Điều 4 Thông tư 96/2015/TT-BTC ngày 22/6/2015 của Bộ Tài chính).</w:t>
      </w:r>
    </w:p>
    <w:p w:rsidR="00EA75EB" w:rsidRPr="009204C5" w:rsidRDefault="009204C5" w:rsidP="009204C5">
      <w:pPr>
        <w:pStyle w:val="Vnbnnidung0"/>
        <w:tabs>
          <w:tab w:val="left" w:pos="1027"/>
        </w:tabs>
        <w:spacing w:after="120"/>
        <w:ind w:firstLine="284"/>
        <w:rPr>
          <w:rFonts w:ascii="Arial" w:hAnsi="Arial" w:cs="Arial"/>
          <w:sz w:val="20"/>
          <w:szCs w:val="20"/>
        </w:rPr>
      </w:pPr>
      <w:bookmarkStart w:id="5" w:name="bookmark4"/>
      <w:bookmarkEnd w:id="5"/>
      <w:r>
        <w:rPr>
          <w:rFonts w:ascii="Arial" w:hAnsi="Arial" w:cs="Arial"/>
          <w:sz w:val="20"/>
          <w:szCs w:val="20"/>
          <w:lang w:val="en-US"/>
        </w:rPr>
        <w:t xml:space="preserve">- </w:t>
      </w:r>
      <w:r w:rsidR="00FC21A2" w:rsidRPr="009204C5">
        <w:rPr>
          <w:rFonts w:ascii="Arial" w:hAnsi="Arial" w:cs="Arial"/>
          <w:sz w:val="20"/>
          <w:szCs w:val="20"/>
        </w:rPr>
        <w:t>Đối với trường hợp sửa chữa nhà xưởng đang không sử dụng</w:t>
      </w:r>
      <w:r w:rsidR="00FC21A2" w:rsidRPr="009204C5">
        <w:rPr>
          <w:rFonts w:ascii="Arial" w:hAnsi="Arial" w:cs="Arial"/>
          <w:sz w:val="20"/>
          <w:szCs w:val="20"/>
        </w:rPr>
        <w:t xml:space="preserve">, sửa chữa xong lại tiếp tục không sử dụng (phân xưởng số 02 và phân xưởng số 03): Phân xưởng số 2, 3 của Công ty dừng hoạt động từ tháng 11/2021; Công ty thực hiện việc sửa chữa và bảo trì hai phân xưởng trên từ tháng 01/2024 đến tháng 08/2024 (8 tháng). </w:t>
      </w:r>
      <w:r w:rsidR="00FC21A2" w:rsidRPr="009204C5">
        <w:rPr>
          <w:rFonts w:ascii="Arial" w:hAnsi="Arial" w:cs="Arial"/>
          <w:sz w:val="20"/>
          <w:szCs w:val="20"/>
        </w:rPr>
        <w:t>Trường hợp sau khi sửa chữa, hai phân xưởng trên tiếp tục chưa đưa vào sử dụng thì chi phí khấu hao tài sản cố định của 2 phân xưởng trên trong thời gian tạm dừng để sửa chữa không được tính vào chi phí được trừ khi xác định thu nhập chịu thuế TNDN do khôn</w:t>
      </w:r>
      <w:r w:rsidR="00FC21A2" w:rsidRPr="009204C5">
        <w:rPr>
          <w:rFonts w:ascii="Arial" w:hAnsi="Arial" w:cs="Arial"/>
          <w:sz w:val="20"/>
          <w:szCs w:val="20"/>
        </w:rPr>
        <w:t xml:space="preserve">g phục vụ hoạt động </w:t>
      </w:r>
      <w:r w:rsidR="00FC21A2" w:rsidRPr="009204C5">
        <w:rPr>
          <w:rFonts w:ascii="Arial" w:hAnsi="Arial" w:cs="Arial"/>
          <w:sz w:val="20"/>
          <w:szCs w:val="20"/>
        </w:rPr>
        <w:lastRenderedPageBreak/>
        <w:t xml:space="preserve">sản xuất kinh doanh của Công ty, theo quy định tại Điều 6 </w:t>
      </w:r>
      <w:r w:rsidR="00FC21A2" w:rsidRPr="009204C5">
        <w:rPr>
          <w:rFonts w:ascii="Arial" w:hAnsi="Arial" w:cs="Arial"/>
          <w:i/>
          <w:iCs/>
          <w:sz w:val="20"/>
          <w:szCs w:val="20"/>
        </w:rPr>
        <w:t>T</w:t>
      </w:r>
      <w:r w:rsidR="00FC21A2" w:rsidRPr="009204C5">
        <w:rPr>
          <w:rFonts w:ascii="Arial" w:hAnsi="Arial" w:cs="Arial"/>
          <w:sz w:val="20"/>
          <w:szCs w:val="20"/>
        </w:rPr>
        <w:t>Thông tư 78/2014/TT-BTC ngày 18/6/2014 của Bộ Tài chính (được sửa đổi, bổ sung tại Điều 4 Thông tư 96/2015/TT-BTC ngày 22/6/2015 của Bộ Tài chính).</w:t>
      </w:r>
    </w:p>
    <w:p w:rsidR="00EA75EB" w:rsidRPr="009204C5" w:rsidRDefault="00FC21A2" w:rsidP="009204C5">
      <w:pPr>
        <w:pStyle w:val="Vnbnnidung0"/>
        <w:spacing w:after="120"/>
        <w:ind w:firstLine="284"/>
        <w:rPr>
          <w:rFonts w:ascii="Arial" w:hAnsi="Arial" w:cs="Arial"/>
          <w:sz w:val="20"/>
          <w:szCs w:val="20"/>
        </w:rPr>
      </w:pPr>
      <w:r w:rsidRPr="009204C5">
        <w:rPr>
          <w:rFonts w:ascii="Arial" w:hAnsi="Arial" w:cs="Arial"/>
          <w:sz w:val="20"/>
          <w:szCs w:val="20"/>
        </w:rPr>
        <w:t>Đề nghị Công ty căn cứ các qu</w:t>
      </w:r>
      <w:r w:rsidRPr="009204C5">
        <w:rPr>
          <w:rFonts w:ascii="Arial" w:hAnsi="Arial" w:cs="Arial"/>
          <w:sz w:val="20"/>
          <w:szCs w:val="20"/>
        </w:rPr>
        <w:t>y định nêu trên và đối chiếu với tình hình thực tế tại đơn vị để thực hiện đúng quy định. Nếu có vướng mắc, Công ty liên hệ Phòng Tuyên truyền - Hỗ trợ người nộp thuế (</w:t>
      </w:r>
      <w:r w:rsidRPr="009204C5">
        <w:rPr>
          <w:rFonts w:ascii="Arial" w:eastAsia="Arial" w:hAnsi="Arial" w:cs="Arial"/>
          <w:sz w:val="20"/>
          <w:szCs w:val="20"/>
        </w:rPr>
        <w:t>S</w:t>
      </w:r>
      <w:r w:rsidRPr="009204C5">
        <w:rPr>
          <w:rFonts w:ascii="Arial" w:hAnsi="Arial" w:cs="Arial"/>
          <w:sz w:val="20"/>
          <w:szCs w:val="20"/>
        </w:rPr>
        <w:t>0226.3851.553); Phòng Thanh tra - Kiểm tra số 1 (</w:t>
      </w:r>
      <w:r w:rsidRPr="009204C5">
        <w:rPr>
          <w:rFonts w:ascii="Arial" w:eastAsia="Arial" w:hAnsi="Arial" w:cs="Arial"/>
          <w:sz w:val="20"/>
          <w:szCs w:val="20"/>
        </w:rPr>
        <w:t>S</w:t>
      </w:r>
      <w:r w:rsidRPr="009204C5">
        <w:rPr>
          <w:rFonts w:ascii="Arial" w:hAnsi="Arial" w:cs="Arial"/>
          <w:sz w:val="20"/>
          <w:szCs w:val="20"/>
        </w:rPr>
        <w:t>0226.3851.545).</w:t>
      </w:r>
    </w:p>
    <w:p w:rsidR="00EA75EB" w:rsidRDefault="00FC21A2" w:rsidP="009204C5">
      <w:pPr>
        <w:pStyle w:val="Vnbnnidung0"/>
        <w:spacing w:after="120"/>
        <w:ind w:firstLine="284"/>
        <w:rPr>
          <w:rFonts w:ascii="Arial" w:hAnsi="Arial" w:cs="Arial"/>
          <w:sz w:val="20"/>
          <w:szCs w:val="20"/>
        </w:rPr>
      </w:pPr>
      <w:r w:rsidRPr="009204C5">
        <w:rPr>
          <w:rFonts w:ascii="Arial" w:hAnsi="Arial" w:cs="Arial"/>
          <w:sz w:val="20"/>
          <w:szCs w:val="20"/>
        </w:rPr>
        <w:t xml:space="preserve">Cục Thuế tỉnh Hà Nam </w:t>
      </w:r>
      <w:r w:rsidRPr="009204C5">
        <w:rPr>
          <w:rFonts w:ascii="Arial" w:hAnsi="Arial" w:cs="Arial"/>
          <w:sz w:val="20"/>
          <w:szCs w:val="20"/>
        </w:rPr>
        <w:t xml:space="preserve">thông báo để </w:t>
      </w:r>
      <w:r w:rsidR="009204C5">
        <w:rPr>
          <w:rFonts w:ascii="Arial" w:hAnsi="Arial" w:cs="Arial"/>
          <w:sz w:val="20"/>
          <w:szCs w:val="20"/>
        </w:rPr>
        <w:t>Công ty được biết,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711"/>
      </w:tblGrid>
      <w:tr w:rsidR="009204C5" w:rsidTr="00834E03">
        <w:tc>
          <w:tcPr>
            <w:tcW w:w="4711" w:type="dxa"/>
          </w:tcPr>
          <w:p w:rsidR="009204C5" w:rsidRPr="006A7EBA" w:rsidRDefault="009204C5" w:rsidP="00834E03">
            <w:pPr>
              <w:pStyle w:val="Vnbnnidung20"/>
              <w:ind w:left="360" w:firstLine="0"/>
              <w:rPr>
                <w:rFonts w:ascii="Arial" w:hAnsi="Arial" w:cs="Arial"/>
                <w:sz w:val="20"/>
                <w:szCs w:val="20"/>
              </w:rPr>
            </w:pPr>
            <w:r w:rsidRPr="006A7EBA">
              <w:rPr>
                <w:rFonts w:ascii="Arial" w:hAnsi="Arial" w:cs="Arial"/>
                <w:b/>
                <w:bCs/>
                <w:i/>
                <w:iCs/>
                <w:sz w:val="20"/>
                <w:szCs w:val="20"/>
              </w:rPr>
              <w:t>Nơi nhận:</w:t>
            </w:r>
          </w:p>
          <w:p w:rsidR="009204C5" w:rsidRPr="006A7EBA" w:rsidRDefault="009204C5" w:rsidP="00834E03">
            <w:pPr>
              <w:pStyle w:val="Vnbnnidung20"/>
              <w:tabs>
                <w:tab w:val="left" w:pos="396"/>
              </w:tabs>
              <w:ind w:left="360" w:firstLine="0"/>
              <w:rPr>
                <w:rFonts w:ascii="Arial" w:hAnsi="Arial" w:cs="Arial"/>
                <w:sz w:val="20"/>
                <w:szCs w:val="20"/>
              </w:rPr>
            </w:pPr>
            <w:r>
              <w:rPr>
                <w:rFonts w:ascii="Arial" w:hAnsi="Arial" w:cs="Arial"/>
                <w:sz w:val="20"/>
                <w:szCs w:val="20"/>
                <w:lang w:val="en-US"/>
              </w:rPr>
              <w:t xml:space="preserve">- </w:t>
            </w:r>
            <w:r w:rsidRPr="006A7EBA">
              <w:rPr>
                <w:rFonts w:ascii="Arial" w:hAnsi="Arial" w:cs="Arial"/>
                <w:sz w:val="20"/>
                <w:szCs w:val="20"/>
              </w:rPr>
              <w:t>Như trên;</w:t>
            </w:r>
          </w:p>
          <w:p w:rsidR="009204C5" w:rsidRPr="009204C5" w:rsidRDefault="009204C5" w:rsidP="009204C5">
            <w:pPr>
              <w:pStyle w:val="Vnbnnidung20"/>
              <w:tabs>
                <w:tab w:val="left" w:pos="537"/>
              </w:tabs>
              <w:ind w:left="300" w:firstLine="0"/>
              <w:rPr>
                <w:rFonts w:ascii="Arial" w:hAnsi="Arial" w:cs="Arial"/>
                <w:sz w:val="20"/>
                <w:szCs w:val="20"/>
              </w:rPr>
            </w:pPr>
            <w:r>
              <w:rPr>
                <w:rFonts w:ascii="Arial" w:hAnsi="Arial" w:cs="Arial"/>
                <w:sz w:val="20"/>
                <w:szCs w:val="20"/>
                <w:lang w:val="en-US"/>
              </w:rPr>
              <w:t xml:space="preserve">- </w:t>
            </w:r>
            <w:r w:rsidRPr="009204C5">
              <w:rPr>
                <w:rFonts w:ascii="Arial" w:hAnsi="Arial" w:cs="Arial"/>
                <w:sz w:val="20"/>
                <w:szCs w:val="20"/>
              </w:rPr>
              <w:t>Cục trưởng;</w:t>
            </w:r>
          </w:p>
          <w:p w:rsidR="009204C5" w:rsidRDefault="009204C5" w:rsidP="009204C5">
            <w:pPr>
              <w:pStyle w:val="Vnbnnidung20"/>
              <w:tabs>
                <w:tab w:val="left" w:pos="537"/>
              </w:tabs>
              <w:ind w:left="300" w:firstLine="0"/>
              <w:rPr>
                <w:rFonts w:ascii="Arial" w:hAnsi="Arial" w:cs="Arial"/>
                <w:sz w:val="20"/>
                <w:szCs w:val="20"/>
              </w:rPr>
            </w:pPr>
            <w:r>
              <w:rPr>
                <w:rFonts w:ascii="Arial" w:hAnsi="Arial" w:cs="Arial"/>
                <w:sz w:val="20"/>
                <w:szCs w:val="20"/>
                <w:lang w:val="en-US"/>
              </w:rPr>
              <w:t xml:space="preserve">- </w:t>
            </w:r>
            <w:r w:rsidRPr="009204C5">
              <w:rPr>
                <w:rFonts w:ascii="Arial" w:hAnsi="Arial" w:cs="Arial"/>
                <w:sz w:val="20"/>
                <w:szCs w:val="20"/>
              </w:rPr>
              <w:t>PCT. Nguyễn Quang Hệ;</w:t>
            </w:r>
          </w:p>
          <w:p w:rsidR="009204C5" w:rsidRDefault="009204C5" w:rsidP="009204C5">
            <w:pPr>
              <w:pStyle w:val="Vnbnnidung20"/>
              <w:tabs>
                <w:tab w:val="left" w:pos="537"/>
              </w:tabs>
              <w:ind w:left="300" w:firstLine="0"/>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 xml:space="preserve">Các Phòng: TTKT1, </w:t>
            </w:r>
            <w:r w:rsidRPr="009204C5">
              <w:rPr>
                <w:rFonts w:ascii="Arial" w:hAnsi="Arial" w:cs="Arial"/>
                <w:sz w:val="20"/>
                <w:szCs w:val="20"/>
              </w:rPr>
              <w:t>NVDTPC;</w:t>
            </w:r>
          </w:p>
          <w:p w:rsidR="009204C5" w:rsidRPr="009204C5" w:rsidRDefault="009204C5" w:rsidP="009204C5">
            <w:pPr>
              <w:pStyle w:val="Vnbnnidung20"/>
              <w:tabs>
                <w:tab w:val="left" w:pos="537"/>
              </w:tabs>
              <w:ind w:left="300" w:firstLine="0"/>
              <w:rPr>
                <w:rFonts w:ascii="Arial" w:hAnsi="Arial" w:cs="Arial"/>
                <w:sz w:val="20"/>
                <w:szCs w:val="20"/>
                <w:lang w:val="en-US"/>
              </w:rPr>
            </w:pPr>
            <w:r>
              <w:rPr>
                <w:rFonts w:ascii="Arial" w:hAnsi="Arial" w:cs="Arial"/>
                <w:sz w:val="20"/>
                <w:szCs w:val="20"/>
                <w:lang w:val="en-US"/>
              </w:rPr>
              <w:t xml:space="preserve">- </w:t>
            </w:r>
            <w:r w:rsidRPr="009204C5">
              <w:rPr>
                <w:rFonts w:ascii="Arial" w:hAnsi="Arial" w:cs="Arial"/>
                <w:sz w:val="20"/>
                <w:szCs w:val="20"/>
              </w:rPr>
              <w:t>Website Cục Th</w:t>
            </w:r>
            <w:r>
              <w:rPr>
                <w:rFonts w:ascii="Arial" w:hAnsi="Arial" w:cs="Arial"/>
                <w:sz w:val="20"/>
                <w:szCs w:val="20"/>
                <w:lang w:val="en-US"/>
              </w:rPr>
              <w:t>uế</w:t>
            </w:r>
          </w:p>
          <w:p w:rsidR="009204C5" w:rsidRPr="009204C5" w:rsidRDefault="009204C5" w:rsidP="009204C5">
            <w:pPr>
              <w:pStyle w:val="Vnbnnidung20"/>
              <w:tabs>
                <w:tab w:val="left" w:pos="537"/>
              </w:tabs>
              <w:ind w:left="300" w:firstLine="0"/>
              <w:rPr>
                <w:rFonts w:ascii="Arial" w:hAnsi="Arial" w:cs="Arial"/>
                <w:sz w:val="20"/>
                <w:szCs w:val="20"/>
              </w:rPr>
            </w:pPr>
            <w:r>
              <w:rPr>
                <w:rFonts w:ascii="Arial" w:hAnsi="Arial" w:cs="Arial"/>
                <w:sz w:val="20"/>
                <w:szCs w:val="20"/>
                <w:lang w:val="en-US"/>
              </w:rPr>
              <w:t xml:space="preserve">- </w:t>
            </w:r>
            <w:r w:rsidRPr="009204C5">
              <w:rPr>
                <w:rFonts w:ascii="Arial" w:hAnsi="Arial" w:cs="Arial"/>
                <w:sz w:val="20"/>
                <w:szCs w:val="20"/>
              </w:rPr>
              <w:t>Lưu: VT, TTHT.</w:t>
            </w:r>
          </w:p>
        </w:tc>
        <w:tc>
          <w:tcPr>
            <w:tcW w:w="4711" w:type="dxa"/>
          </w:tcPr>
          <w:p w:rsidR="009204C5" w:rsidRPr="005C2470" w:rsidRDefault="009204C5" w:rsidP="00834E03">
            <w:pPr>
              <w:pStyle w:val="Vnbnnidung0"/>
              <w:ind w:left="360" w:firstLine="0"/>
              <w:jc w:val="center"/>
              <w:rPr>
                <w:rFonts w:ascii="Arial" w:hAnsi="Arial" w:cs="Arial"/>
                <w:b/>
                <w:bCs/>
                <w:sz w:val="20"/>
                <w:szCs w:val="20"/>
              </w:rPr>
            </w:pPr>
            <w:r w:rsidRPr="005C2470">
              <w:rPr>
                <w:rFonts w:ascii="Arial" w:hAnsi="Arial" w:cs="Arial"/>
                <w:b/>
                <w:bCs/>
                <w:sz w:val="20"/>
                <w:szCs w:val="20"/>
                <w:lang w:val="en-US"/>
              </w:rPr>
              <w:t xml:space="preserve">KT. </w:t>
            </w:r>
            <w:r w:rsidRPr="005C2470">
              <w:rPr>
                <w:rFonts w:ascii="Arial" w:hAnsi="Arial" w:cs="Arial"/>
                <w:b/>
                <w:bCs/>
                <w:sz w:val="20"/>
                <w:szCs w:val="20"/>
              </w:rPr>
              <w:t>CỤC TRƯỞNG</w:t>
            </w:r>
            <w:r w:rsidRPr="005C2470">
              <w:rPr>
                <w:rFonts w:ascii="Arial" w:hAnsi="Arial" w:cs="Arial"/>
                <w:b/>
                <w:bCs/>
                <w:sz w:val="20"/>
                <w:szCs w:val="20"/>
              </w:rPr>
              <w:br/>
            </w:r>
            <w:r w:rsidRPr="005C2470">
              <w:rPr>
                <w:rFonts w:ascii="Arial" w:hAnsi="Arial" w:cs="Arial"/>
                <w:b/>
                <w:bCs/>
                <w:sz w:val="20"/>
                <w:szCs w:val="20"/>
                <w:lang w:val="en-US"/>
              </w:rPr>
              <w:t>PHÓ CỤC</w:t>
            </w:r>
            <w:r w:rsidRPr="005C2470">
              <w:rPr>
                <w:rFonts w:ascii="Arial" w:hAnsi="Arial" w:cs="Arial"/>
                <w:b/>
                <w:bCs/>
                <w:sz w:val="20"/>
                <w:szCs w:val="20"/>
              </w:rPr>
              <w:t xml:space="preserve"> TRƯỞNG</w:t>
            </w:r>
          </w:p>
          <w:p w:rsidR="009204C5" w:rsidRPr="005C2470" w:rsidRDefault="009204C5" w:rsidP="00834E03">
            <w:pPr>
              <w:pStyle w:val="Vnbnnidung0"/>
              <w:ind w:firstLine="0"/>
              <w:jc w:val="center"/>
              <w:rPr>
                <w:rFonts w:ascii="Arial" w:hAnsi="Arial" w:cs="Arial"/>
                <w:b/>
                <w:bCs/>
                <w:sz w:val="20"/>
                <w:szCs w:val="20"/>
              </w:rPr>
            </w:pPr>
          </w:p>
          <w:p w:rsidR="009204C5" w:rsidRPr="005C2470" w:rsidRDefault="009204C5" w:rsidP="00834E03">
            <w:pPr>
              <w:pStyle w:val="Vnbnnidung0"/>
              <w:ind w:left="360" w:firstLine="0"/>
              <w:jc w:val="center"/>
              <w:rPr>
                <w:rFonts w:ascii="Arial" w:hAnsi="Arial" w:cs="Arial"/>
                <w:sz w:val="20"/>
                <w:szCs w:val="20"/>
                <w:lang w:val="en-US"/>
              </w:rPr>
            </w:pPr>
            <w:r>
              <w:rPr>
                <w:rFonts w:ascii="Arial" w:hAnsi="Arial" w:cs="Arial"/>
                <w:b/>
                <w:bCs/>
                <w:sz w:val="20"/>
                <w:szCs w:val="20"/>
                <w:lang w:val="en-US"/>
              </w:rPr>
              <w:t>Nguyễn Quang Hệ</w:t>
            </w:r>
          </w:p>
          <w:p w:rsidR="009204C5" w:rsidRDefault="009204C5" w:rsidP="00834E03">
            <w:pPr>
              <w:pStyle w:val="Vnbnnidung0"/>
              <w:ind w:firstLine="0"/>
              <w:rPr>
                <w:rFonts w:ascii="Arial" w:hAnsi="Arial" w:cs="Arial"/>
                <w:sz w:val="20"/>
                <w:szCs w:val="20"/>
              </w:rPr>
            </w:pPr>
          </w:p>
        </w:tc>
      </w:tr>
    </w:tbl>
    <w:p w:rsidR="009204C5" w:rsidRPr="009204C5" w:rsidRDefault="009204C5" w:rsidP="009204C5">
      <w:pPr>
        <w:pStyle w:val="Vnbnnidung0"/>
        <w:spacing w:after="120"/>
        <w:ind w:firstLine="0"/>
        <w:rPr>
          <w:rFonts w:ascii="Arial" w:hAnsi="Arial" w:cs="Arial"/>
          <w:sz w:val="20"/>
          <w:szCs w:val="20"/>
        </w:rPr>
      </w:pPr>
    </w:p>
    <w:sectPr w:rsidR="009204C5" w:rsidRPr="009204C5">
      <w:headerReference w:type="even" r:id="rId7"/>
      <w:headerReference w:type="default" r:id="rId8"/>
      <w:pgSz w:w="11900" w:h="16840"/>
      <w:pgMar w:top="1105" w:right="957" w:bottom="1028" w:left="1478"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1A2" w:rsidRDefault="00FC21A2">
      <w:r>
        <w:separator/>
      </w:r>
    </w:p>
  </w:endnote>
  <w:endnote w:type="continuationSeparator" w:id="0">
    <w:p w:rsidR="00FC21A2" w:rsidRDefault="00FC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1A2" w:rsidRDefault="00FC21A2"/>
  </w:footnote>
  <w:footnote w:type="continuationSeparator" w:id="0">
    <w:p w:rsidR="00FC21A2" w:rsidRDefault="00FC21A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5EB" w:rsidRDefault="00FC21A2">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3916045</wp:posOffset>
              </wp:positionH>
              <wp:positionV relativeFrom="page">
                <wp:posOffset>405765</wp:posOffset>
              </wp:positionV>
              <wp:extent cx="7620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EA75EB" w:rsidRDefault="00FC21A2">
                          <w:pPr>
                            <w:pStyle w:val="utranghocchntrang20"/>
                            <w:rPr>
                              <w:sz w:val="28"/>
                              <w:szCs w:val="28"/>
                            </w:rPr>
                          </w:pPr>
                          <w:r>
                            <w:rPr>
                              <w:sz w:val="28"/>
                              <w:szCs w:val="28"/>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8.35pt;margin-top:31.95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" filled="f" stroked="f">
              <v:textbox style="mso-fit-shape-to-text:t" inset="0,0,0,0">
                <w:txbxContent>
                  <w:p w:rsidR="00EA75EB" w:rsidRDefault="00FC21A2">
                    <w:pPr>
                      <w:pStyle w:val="utranghocchntrang20"/>
                      <w:rPr>
                        <w:sz w:val="28"/>
                        <w:szCs w:val="28"/>
                      </w:rPr>
                    </w:pPr>
                    <w:r>
                      <w:rPr>
                        <w:sz w:val="28"/>
                        <w:szCs w:val="28"/>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5EB" w:rsidRDefault="00EA75EB">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1F5"/>
    <w:multiLevelType w:val="multilevel"/>
    <w:tmpl w:val="F8B4A0E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8E4595"/>
    <w:multiLevelType w:val="multilevel"/>
    <w:tmpl w:val="6DEC5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EB"/>
    <w:rsid w:val="003E7C9E"/>
    <w:rsid w:val="009204C5"/>
    <w:rsid w:val="00EA75EB"/>
    <w:rsid w:val="00FC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9CCD"/>
  <w15:docId w15:val="{63F21787-35DB-4A50-8772-6F03EDE2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firstLine="300"/>
    </w:pPr>
    <w:rPr>
      <w:rFonts w:ascii="Times New Roman" w:eastAsia="Times New Roman" w:hAnsi="Times New Roman" w:cs="Times New Roman"/>
      <w:sz w:val="22"/>
      <w:szCs w:val="22"/>
    </w:rPr>
  </w:style>
  <w:style w:type="table" w:styleId="TableGrid">
    <w:name w:val="Table Grid"/>
    <w:basedOn w:val="TableNormal"/>
    <w:uiPriority w:val="39"/>
    <w:rsid w:val="0092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cp:lastModifiedBy>Admin</cp:lastModifiedBy>
  <cp:revision>3</cp:revision>
  <dcterms:created xsi:type="dcterms:W3CDTF">2024-10-02T06:58:00Z</dcterms:created>
  <dcterms:modified xsi:type="dcterms:W3CDTF">2024-10-02T07:06:00Z</dcterms:modified>
</cp:coreProperties>
</file>