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89" w:rsidRPr="00426CE1" w:rsidRDefault="00D32F89" w:rsidP="00D32F89">
      <w:pPr>
        <w:spacing w:after="0" w:line="288" w:lineRule="auto"/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</w:pPr>
      <w:r w:rsidRPr="00426CE1">
        <w:rPr>
          <w:rFonts w:ascii="Calibri" w:hAnsi="Calibri" w:cs="Calibri"/>
          <w:b/>
          <w:bCs/>
          <w:color w:val="0070C0"/>
          <w:sz w:val="24"/>
          <w:szCs w:val="24"/>
        </w:rPr>
        <w:t>PHỤ LỤC </w:t>
      </w:r>
      <w:r w:rsidRPr="00426CE1"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  <w:t>ĐÍNH KÈM BÀI</w:t>
      </w:r>
    </w:p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32F89" w:rsidRPr="00426CE1" w:rsidTr="00D32F89">
        <w:trPr>
          <w:tblCellSpacing w:w="0" w:type="dxa"/>
        </w:trPr>
        <w:tc>
          <w:tcPr>
            <w:tcW w:w="9360" w:type="dxa"/>
            <w:shd w:val="clear" w:color="auto" w:fill="FFFFFF"/>
            <w:vAlign w:val="center"/>
            <w:hideMark/>
          </w:tcPr>
          <w:p w:rsidR="00D32F89" w:rsidRPr="00426CE1" w:rsidRDefault="00D32F89" w:rsidP="00D32F89">
            <w:pPr>
              <w:spacing w:after="0" w:line="288" w:lineRule="auto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426CE1">
              <w:rPr>
                <w:rFonts w:ascii="Calibri" w:hAnsi="Calibri" w:cs="Calibri"/>
                <w:color w:val="0070C0"/>
                <w:sz w:val="24"/>
                <w:szCs w:val="24"/>
              </w:rPr>
              <w:t>PHỤ LỤC  BẢNG DANH MỤC NGÀNH NGHỀ TÍNH THUẾ GTGT THEO TỶ LỆ % TRÊN DOANH THU </w:t>
            </w:r>
            <w:r w:rsidRPr="00426CE1">
              <w:rPr>
                <w:rFonts w:ascii="Calibri" w:hAnsi="Calibri" w:cs="Calibri"/>
                <w:color w:val="0070C0"/>
                <w:sz w:val="24"/>
                <w:szCs w:val="24"/>
              </w:rPr>
              <w:br/>
            </w:r>
            <w:r w:rsidRPr="00426CE1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>(Ban hành kèm theo Thông tư số 219/2013/TT-BTC ngày 31/12/2013 của Bộ Tài chính)</w:t>
            </w:r>
          </w:p>
          <w:p w:rsidR="00D32F89" w:rsidRPr="00426CE1" w:rsidRDefault="00D32F89" w:rsidP="00D32F89">
            <w:pPr>
              <w:spacing w:after="0"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426CE1">
              <w:rPr>
                <w:rFonts w:ascii="Calibri" w:hAnsi="Calibri" w:cs="Calibri"/>
                <w:sz w:val="24"/>
                <w:szCs w:val="24"/>
              </w:rPr>
              <w:br/>
              <w:t>1) Phân phối, cung cấp hàng hóa: tỷ lệ 1%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Hoạt động bán buôn, bán lẻ các loại hàng hóa (trừ giá trị hàng hóa đại lý bán đúng giá hưởng hoa hồng).</w:t>
            </w:r>
            <w:bookmarkStart w:id="0" w:name="_GoBack"/>
            <w:bookmarkEnd w:id="0"/>
            <w:r w:rsidRPr="00426CE1">
              <w:rPr>
                <w:rFonts w:ascii="Calibri" w:hAnsi="Calibri" w:cs="Calibri"/>
                <w:sz w:val="24"/>
                <w:szCs w:val="24"/>
              </w:rPr>
              <w:br/>
              <w:t> 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2) Dịch vụ, xây dựng không bao thầu nguyên vật liệu: tỷ lệ 5%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lưu trú, kinh doanh khách sạn, nhà nghỉ, nhà trọ;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cho thuê nhà, đất, cửa hàng, nhà xưởng, cho thuê tài sản và đồ dùng cá nhân khác;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cho thuê kho bãi, máy móc, phương tiện vận tải; Bốc xếp hàng hóa và hoạt động dịch vụ hỗ trợ khác liên quan đến vận tải như kinh doanh bến bãi, bán vé, trông giữ phương tiện;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bưu chính, chuyển phát thư tín và bưu kiện;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môi giới, đấu giá và hoa hồng đại lý;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tư vấn pháp luật, tư vấn tài chính, kế toán, kiểm toán; dịch vụ làm thủ tục hành chính thuế, hải quan;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xử lý dữ liệu, cho thuê cổng thông tin, thiết bị công nghệ thông tin, viễn thông;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hỗ trợ văn phòng và các dịch vụ hỗ trợ kinh doanh khác;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tắm hơi, massage, karaoke, vũ trường, bi-a, internet, game;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may đo, giặt là; Cắt tóc, làm đầu, gội đầu;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sửa chữa khác bao gồm: sửa chữa máy vi tính và các đồ dùng gia đình;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tư vấn, thiết kế, giám sát thi công xây dựng cơ bản;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Các dịch vụ khác;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Xây dựng, lắp đặt không bao thầu nguyên vật liệu (bao gồm cả lắp đặt máy móc, thiết bị công nghiệp).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 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3) Sản xuất, vận tải, dịch vụ có gắn với hàng hóa, xây dựng có bao thầu nguyên vật liệu: tỷ lệ 3%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Sản xuất, gia công, chế biến sản phẩm hàng hóa;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Khai thác, chế biến khoáng sản;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Vận tải hàng hóa, vận tải hành khách;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kèm theo bán hàng hóa như dịch vụ đào tạo, bảo dưỡng, chuyển giao công nghệ kèm theo bán sản phẩm;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ăn uống;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Dịch vụ sửa chữa và bảo dưỡng máy móc thiết bị, phương tiện vận tải, ô tô, mô tô, xe máy và xe có động cơ khác;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</w:r>
            <w:r w:rsidRPr="00426CE1">
              <w:rPr>
                <w:rFonts w:ascii="Calibri" w:hAnsi="Calibri" w:cs="Calibri"/>
                <w:sz w:val="24"/>
                <w:szCs w:val="24"/>
              </w:rPr>
              <w:lastRenderedPageBreak/>
              <w:t>- Xây dựng, lắp đặt có bao thầu nguyên vật liệu (bao gồm cả lắp đặt máy móc, thiết bị công nghiệp).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 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4) Hoạt động kinh doanh khác: tỷ lệ 2%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Hoạt động sản xuất các sản phẩm thuộc đối tượng tính thuế GTGT theo phương pháp khấu trừ với mức thuế suất thuế GTGT 5%;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Hoạt động cung cấp các dịch vụ thuộc đối tượng tính thuế GTGT theo phương pháp khấu trừ với mức thuế suất thuế GTGT 5%;</w:t>
            </w:r>
            <w:r w:rsidRPr="00426CE1">
              <w:rPr>
                <w:rFonts w:ascii="Calibri" w:hAnsi="Calibri" w:cs="Calibri"/>
                <w:sz w:val="24"/>
                <w:szCs w:val="24"/>
              </w:rPr>
              <w:br/>
              <w:t>- Các hoạt động khác chưa được liệt kê ở các nhóm 1, 2, 3 nêu trên. </w:t>
            </w:r>
          </w:p>
        </w:tc>
      </w:tr>
    </w:tbl>
    <w:p w:rsidR="00EF397B" w:rsidRDefault="00EF397B" w:rsidP="00D32F89"/>
    <w:sectPr w:rsidR="00EF397B" w:rsidSect="009D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89"/>
    <w:rsid w:val="009D3AAD"/>
    <w:rsid w:val="00D32F89"/>
    <w:rsid w:val="00E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19B2"/>
  <w15:chartTrackingRefBased/>
  <w15:docId w15:val="{31058843-8359-4A48-A373-C91E8797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F8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F89"/>
    <w:rPr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89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TRAN THUY</dc:creator>
  <cp:keywords/>
  <dc:description/>
  <cp:lastModifiedBy>TRANG TRAN THUY</cp:lastModifiedBy>
  <cp:revision>1</cp:revision>
  <dcterms:created xsi:type="dcterms:W3CDTF">2023-05-12T02:12:00Z</dcterms:created>
  <dcterms:modified xsi:type="dcterms:W3CDTF">2023-05-12T02:13:00Z</dcterms:modified>
</cp:coreProperties>
</file>